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28"/>
        <w:jc w:val="right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  <w:t>ПРОЕКТ</w:t>
      </w:r>
    </w:p>
    <w:p>
      <w:pPr>
        <w:pStyle w:val="Normal"/>
        <w:tabs>
          <w:tab w:val="clear" w:pos="720"/>
          <w:tab w:val="left" w:pos="0" w:leader="none"/>
          <w:tab w:val="right" w:pos="9639" w:leader="none"/>
        </w:tabs>
        <w:spacing w:lineRule="auto" w:line="228" w:before="0" w:after="0"/>
        <w:jc w:val="center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28"/>
        <w:jc w:val="center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  <w:t>ПРАВИТЕЛЬСТВО УЛЬЯНОВСКОЙ ОБЛАСТИ</w:t>
      </w:r>
    </w:p>
    <w:p>
      <w:pPr>
        <w:pStyle w:val="FORMATTEXT"/>
        <w:spacing w:lineRule="auto" w:line="228"/>
        <w:jc w:val="center"/>
        <w:rPr>
          <w:rFonts w:ascii="PT Astra Serif" w:hAnsi="PT Astra Serif"/>
          <w:b/>
          <w:b/>
          <w:color w:val="auto"/>
          <w:sz w:val="32"/>
          <w:szCs w:val="32"/>
        </w:rPr>
      </w:pPr>
      <w:r>
        <w:rPr>
          <w:rFonts w:ascii="PT Astra Serif" w:hAnsi="PT Astra Serif"/>
          <w:b/>
          <w:color w:val="auto"/>
          <w:sz w:val="32"/>
          <w:szCs w:val="32"/>
        </w:rPr>
      </w:r>
    </w:p>
    <w:p>
      <w:pPr>
        <w:pStyle w:val="FORMATTEXT"/>
        <w:spacing w:lineRule="auto" w:line="228"/>
        <w:jc w:val="center"/>
        <w:rPr/>
      </w:pPr>
      <w:r>
        <w:rPr>
          <w:rFonts w:ascii="PT Astra Serif" w:hAnsi="PT Astra Serif"/>
          <w:b/>
          <w:bCs/>
          <w:color w:val="auto"/>
          <w:sz w:val="32"/>
          <w:szCs w:val="32"/>
        </w:rPr>
        <w:t>П О С Т А Н О В Л Е Н И Е</w:t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b/>
          <w:b/>
          <w:bCs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b/>
          <w:b/>
          <w:bCs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b/>
          <w:b/>
          <w:bCs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/>
      </w:pPr>
      <w:bookmarkStart w:id="0" w:name="__DdeLink__116_2415109761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О внесении изменений в </w:t>
      </w:r>
      <w:bookmarkEnd w:id="0"/>
      <w:r>
        <w:rPr>
          <w:rFonts w:ascii="PT Astra Serif" w:hAnsi="PT Astra Serif"/>
          <w:b/>
          <w:bCs/>
          <w:color w:val="auto"/>
          <w:sz w:val="28"/>
          <w:szCs w:val="28"/>
        </w:rPr>
        <w:t>отдельные нормативные правовые акты Правительства Ульяновской области</w:t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Правительство Ульяновской области п о с т а н о в л я е т:</w:t>
      </w:r>
    </w:p>
    <w:p>
      <w:pPr>
        <w:pStyle w:val="ListParagraph"/>
        <w:numPr>
          <w:ilvl w:val="0"/>
          <w:numId w:val="1"/>
        </w:numPr>
        <w:spacing w:lineRule="auto" w:line="228" w:before="0" w:after="0"/>
        <w:ind w:left="0"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Внести в Положение о региональном государственном экологическом контроле (надзоре) на территории Ульяновской области, утверждённое постановлением Правительства Ульяновской области</w:t>
        <w:br/>
        <w:t>от 29.09.2021 № 449-П «Об утверждении Положения о региональном государственном экологическом контроле (надзоре) на территории Ульяновской области»,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28" w:before="0" w:after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в разделе 1:</w:t>
      </w:r>
    </w:p>
    <w:p>
      <w:pPr>
        <w:pStyle w:val="Normal"/>
        <w:spacing w:lineRule="auto" w:line="228" w:before="0" w:after="0"/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а) в подпункте 3 пункта 1.6 слова «от 23.06.2016 № 572» заменить словами «от 07.05.2022 № 830»;</w:t>
      </w:r>
    </w:p>
    <w:p>
      <w:pPr>
        <w:pStyle w:val="ListParagraph"/>
        <w:spacing w:lineRule="auto" w:line="228" w:before="0" w:after="0"/>
        <w:ind w:left="0"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б) пункт 1.8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«1.8. Министерство обязано вести перечень объектов контроля, указанный в </w:t>
      </w:r>
      <w:r>
        <w:rPr>
          <w:rFonts w:ascii="PT Astra Serif" w:hAnsi="PT Astra Serif"/>
          <w:color w:val="auto"/>
          <w:sz w:val="28"/>
          <w:szCs w:val="28"/>
        </w:rPr>
        <w:t xml:space="preserve">подпункте «е» пункта 5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Российской Федерации от 24.10.2011 № 861           «О федеральных государственных информационных системах, обеспечивающих предоставление в электронной форме государственных                    и муниципальных услуг (осуществление функций)» (далее - перечень объектов контроля, Правила формирования и ведения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информационно-телекоммуникационной сети «Интернет» для отображения перечня объектов контроля (виджет)                  на официальном сайте Министерства в информационно-телекоммуникационной сети «Интернет».»;</w:t>
      </w:r>
    </w:p>
    <w:p>
      <w:pPr>
        <w:pStyle w:val="ListParagraph"/>
        <w:spacing w:lineRule="auto" w:line="228" w:before="0" w:after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2:</w:t>
      </w:r>
    </w:p>
    <w:p>
      <w:pPr>
        <w:pStyle w:val="ListParagraph"/>
        <w:tabs>
          <w:tab w:val="clear" w:pos="720"/>
          <w:tab w:val="left" w:pos="1418" w:leader="none"/>
        </w:tabs>
        <w:spacing w:lineRule="auto" w:line="228" w:before="0" w:after="0"/>
        <w:ind w:left="0" w:firstLine="709"/>
        <w:contextualSpacing/>
        <w:jc w:val="both"/>
        <w:rPr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пункт 2.3</w:t>
      </w:r>
      <w:bookmarkStart w:id="1" w:name="__DdeLink__201_940850975"/>
      <w:bookmarkEnd w:id="1"/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 дополнить новыми абзацами пятым и шестым</w:t>
      </w:r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 xml:space="preserve"> следующего содержания:</w:t>
      </w:r>
      <w:r>
        <w:rPr>
          <w:rFonts w:eastAsia="Calibri" w:ascii="PT Astra Serif" w:hAnsi="PT Astra Serif"/>
          <w:color w:val="000000"/>
          <w:sz w:val="28"/>
          <w:szCs w:val="28"/>
          <w:highlight w:val="yellow"/>
          <w:lang w:eastAsia="en-US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cs="PT Astra Serif" w:ascii="PT Astra Serif" w:hAnsi="PT Astra Serif"/>
          <w:sz w:val="28"/>
        </w:rPr>
        <w:t>Объекты контроля, подлежащие отнесению в соответствии</w:t>
        <w:br/>
        <w:t>с настоящим пунктом к категориям умеренного, низкого риска, подлежат отнесению соответственно к категориям среднего, умеренного риска в случае, если объект размещается в водоохранных зонах водных объектов или</w:t>
        <w:br/>
        <w:t>их частей.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PT Astra Serif" w:ascii="PT Astra Serif" w:hAnsi="PT Astra Serif"/>
          <w:sz w:val="28"/>
        </w:rPr>
        <w:t>Объекты контроля, подлежащие отнесению в соответствии</w:t>
        <w:br/>
        <w:t>с настоящим пунктом к категориям среднего, умеренного риска, подлежат отнесению соответственно к категориям умеренного, низкого риска в случае, если контролируемым лицом, эксплуатирующим данные объекты, предоставлены в адрес Министерства сведения с приложением подтверждающих документов: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PT Astra Serif" w:hAnsi="PT Astra Serif" w:cs="PT Astra Serif"/>
          <w:sz w:val="28"/>
        </w:rPr>
      </w:pPr>
      <w:r>
        <w:rPr>
          <w:rFonts w:cs="PT Astra Serif" w:ascii="PT Astra Serif" w:hAnsi="PT Astra Serif"/>
          <w:sz w:val="28"/>
          <w:szCs w:val="28"/>
        </w:rPr>
        <w:t>о реализации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о наличии внедрённых сертифицированных систем внутреннего контроля;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о добровольной сертификации, подтверждающей повышенный необходимый уровень безопасности охраняемых законом ценностей.»;</w:t>
      </w:r>
    </w:p>
    <w:p>
      <w:pPr>
        <w:pStyle w:val="ListParagraph"/>
        <w:spacing w:lineRule="auto" w:line="228" w:before="0" w:after="0"/>
        <w:ind w:left="0"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б) пункт 2.4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изложить в следующей редакции: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«2.4. Решения об отнесении объектов контроля к категории риска или                  об изменении категории риска, к которой ранее был отнесен объект контроля,                          в ходе осуществления регионального государственного контроля принимаются путем подписания в порядке, установленном пунктом 13 Правил формирования и ведения единого реестра видов контроля, данных об объекте контроля                    с указанием сведений о контролируемом лице, описания объекта контроля                и присвоенной категории риска в перечне объектов контроля.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в) подпункт 3 пункта 2.5 признать утратившим силу;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3) раздел 3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center"/>
        <w:rPr>
          <w:rFonts w:ascii="PT Astra Serif" w:hAnsi="PT Astra Serif" w:eastAsia="Calibri" w:cs="PT Astra Serif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en-US"/>
        </w:rPr>
        <w:t>«Учёт рисков причинения вреда (ущерба) охраняемым законом ценностям при проведении контрольных (надзорных) мероприятий»</w:t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Плановые контрольные (надзорные) мероприятия в отношении объектов контроля в зависимости от категории риска проводятся со следующей периодичностью: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для категории среднего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инспекционный визит -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рейдовый осмотр —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документарная проверка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5 лет;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для категории умеренного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рейдовый осмотр —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документарная проверка - один раз в 5 лет;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6 лет.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отношении объектов контроля, которые отнесены к категории низкого риска, плановые контрольные (надзорные) мероприятия не проводятся.»;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3) в пункте 5.11 раздела 5: 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абзаце двенадцатом слова «пунктами 3-6» заменить словами «пунктами 3-5»;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Calibri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в абзаце четырнадцатом слова «</w:t>
      </w:r>
      <w:r>
        <w:rPr>
          <w:rFonts w:eastAsia="Calibri" w:cs="Calibri" w:ascii="PT Astra Serif" w:hAnsi="PT Astra Serif"/>
          <w:sz w:val="28"/>
          <w:szCs w:val="28"/>
          <w:lang w:eastAsia="en-US"/>
        </w:rPr>
        <w:t>за исключением выездной проверки, основанием для проведения которой является наступление события, указанного в программе проверок, и которая для микропредприятия не может продолжаться более 40 часов» исключить;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4) пункт 8.1 раздела 8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«В целях качественной оценки уровня защиты охраняемых законом ценностей в области регионального экологического контроля (надзора) используются ключевые показатели регионального государственного экологического контроля (надзора), индикативные показатели (далее — ключевые показатели), установленные приложением к настоящему Положению.</w:t>
      </w:r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>»;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5) приложение к Положению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«Приложение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к Положению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/>
      </w:pPr>
      <w:r>
        <w:rPr>
          <w:rFonts w:eastAsia="Calibri" w:ascii="PT Astra Serif" w:hAnsi="PT Astra Serif"/>
          <w:b/>
          <w:bCs/>
          <w:color w:val="000000"/>
          <w:sz w:val="28"/>
          <w:szCs w:val="28"/>
          <w:lang w:eastAsia="en-US"/>
        </w:rPr>
        <w:t>Ключевые показатели регионального государственного экологического контроля (надзора), индикативные показатели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>
          <w:rFonts w:ascii="PT Astra Serif" w:hAnsi="PT Astra Serif" w:cs="PT Astra Serif"/>
          <w:b/>
          <w:b/>
          <w:color w:val="000000"/>
        </w:rPr>
      </w:pPr>
      <w:r>
        <w:rPr>
          <w:rFonts w:cs="PT Astra Serif" w:ascii="PT Astra Serif" w:hAnsi="PT Astra Serif"/>
          <w:b/>
          <w:color w:val="000000"/>
        </w:rPr>
      </w:r>
    </w:p>
    <w:tbl>
      <w:tblPr>
        <w:tblW w:w="9645" w:type="dxa"/>
        <w:jc w:val="left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914"/>
        <w:gridCol w:w="1815"/>
        <w:gridCol w:w="3912"/>
        <w:gridCol w:w="1249"/>
        <w:gridCol w:w="1755"/>
      </w:tblGrid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Номер  п/п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Формула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расчёта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</w:tbl>
    <w:p>
      <w:pPr>
        <w:pStyle w:val="Normal"/>
        <w:spacing w:lineRule="auto" w:line="0"/>
        <w:rPr>
          <w:rFonts w:ascii="PT Astra Serif" w:hAnsi="PT Astra Serif"/>
          <w:sz w:val="4"/>
          <w:szCs w:val="4"/>
        </w:rPr>
      </w:pPr>
      <w:r>
        <w:rPr>
          <w:rFonts w:ascii="PT Astra Serif" w:hAnsi="PT Astra Serif"/>
          <w:sz w:val="4"/>
          <w:szCs w:val="4"/>
        </w:rPr>
      </w:r>
    </w:p>
    <w:tbl>
      <w:tblPr>
        <w:tblW w:w="9645" w:type="dxa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4"/>
        <w:gridCol w:w="1875"/>
        <w:gridCol w:w="3855"/>
        <w:gridCol w:w="1245"/>
        <w:gridCol w:w="1816"/>
      </w:tblGrid>
      <w:tr>
        <w:trPr>
          <w:tblHeader w:val="true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Ключевые показатели</w:t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Причинение вреда окружающей среде в результате нарушений природоохранного законодательства на территории Ульяновской области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 w:cs="PT Astra Serif;Cambria"/>
                <w:color w:val="000000"/>
                <w:sz w:val="20"/>
                <w:szCs w:val="20"/>
              </w:rPr>
            </w:pPr>
            <w:r>
              <w:rPr>
                <w:rFonts w:cs="PT Astra Serif;Cambria" w:ascii="PT Astra Serif" w:hAnsi="PT Astra Serif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МУ = МУв + МУот + Муат,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где: МУ – вред, причинённый окружающей среде в результате нарушений природоохранного законодательства на территории Ульяновской области, рублей;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 xml:space="preserve">МУв – вред, причинённый окружающей среде в результате нарушений природоохранного законодательства в области охраны водных ресурсов,  рублей;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МУот – вред, причинённый окружающей среде в  результате нарушений законодательства об обращении с отходами производства и потребления, рублей;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Муат — вред, причинённый окружающей среде в результате нарушений законодательства загрязнением атмосферного воздуха, рублей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pacing w:val="-4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0</w:t>
            </w:r>
          </w:p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bookmarkStart w:id="2" w:name="__DdeLink__916_1323486622"/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  <w:bookmarkEnd w:id="2"/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 xml:space="preserve">  природных ресурсов и экологии Ульяновской области (далее - Министерство)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Индикативные показатели</w:t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Эффективность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регионального государственного экологического контроля (надзора)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(У(Т)/У(Т-1)х100%,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где: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У(Т) – разница между причиненным ущербом в предшествующем периоде (Т-1) и причиненным ущербом в текущем периоде (Т), 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рублей;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 (Т-1) –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cs="PT Astra Serif" w:ascii="PT Astra Serif" w:hAnsi="PT Astra Serif"/>
                <w:sz w:val="20"/>
                <w:szCs w:val="20"/>
              </w:rPr>
              <w:t>причиненный ущерб в предшествующем периоде (Т-1), рублей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000000"/>
                <w:spacing w:val="-4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</w:rPr>
            </w:r>
          </w:p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 xml:space="preserve">-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 xml:space="preserve">Министерства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предписаний об устранении выявленных нарушений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невыполненных предписаний об устранении выявленных нарушений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Пнев = Побщ — Пвып,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где: Пнев - количество невыполненных предписаний об устранении выявленных нарушений,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Побщ — общее количество предписаний об устранении выявленных нарушений,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Пвып — количество выполненных предписаний об устранении выявленных нарушений, шт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Общее количество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плановых </w:t>
            </w:r>
            <w:bookmarkStart w:id="3" w:name="__DdeLink__4466_37921776941"/>
            <w:r>
              <w:rPr>
                <w:rFonts w:ascii="PT Astra Serif" w:hAnsi="PT Astra Serif"/>
                <w:sz w:val="20"/>
                <w:szCs w:val="20"/>
              </w:rPr>
              <w:t>контрольных (надзорных) мероприятий</w:t>
            </w:r>
            <w:bookmarkEnd w:id="3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bookmarkStart w:id="4" w:name="__DdeLink__1039_1059559666"/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  <w:bookmarkEnd w:id="4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pacing w:lineRule="atLeast" w:line="240" w:before="0" w:after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Общее количество внеплановых контрольных (надзорных) мероприятий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Общее количество контрольных (надзорных) мероприятий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КНМобщ = КНМпл + КНМвн,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 КНМобщ - общее количество контрольных (надзорных) мероприятий,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КНМпл - общее количество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плановых </w:t>
            </w:r>
            <w:bookmarkStart w:id="5" w:name="__DdeLink__4466_379217769411"/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контрольных (надзорных) мероприятий</w:t>
            </w:r>
            <w:bookmarkEnd w:id="5"/>
            <w:r>
              <w:rPr>
                <w:rFonts w:ascii="PT Astra Serif" w:hAnsi="PT Astra Serif"/>
                <w:color w:val="000000"/>
                <w:sz w:val="20"/>
                <w:szCs w:val="20"/>
              </w:rPr>
              <w:t>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КНМвн - общее количество внеплановых контрольных (надзорных) мероприятий, шт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штатных единиц, в должностные обязанности которых входит выполнение контрольно-надзорных функций, человек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Данные штатного расписания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right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».</w:t>
      </w:r>
    </w:p>
    <w:p>
      <w:pPr>
        <w:pStyle w:val="ListParagraph"/>
        <w:numPr>
          <w:ilvl w:val="0"/>
          <w:numId w:val="1"/>
        </w:numPr>
        <w:spacing w:lineRule="auto" w:line="228" w:before="0" w:after="0"/>
        <w:ind w:left="0" w:firstLine="709"/>
        <w:contextualSpacing/>
        <w:jc w:val="both"/>
        <w:rPr/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Внести в Положение о региональном государственном контроле (надзоре) в области охраны и использования особо охраняемых природных территорий, утверждённое </w:t>
      </w:r>
      <w:r>
        <w:rPr>
          <w:rFonts w:cs="PT Astra Serif" w:ascii="PT Astra Serif" w:hAnsi="PT Astra Serif"/>
          <w:color w:val="000000"/>
          <w:sz w:val="28"/>
          <w:szCs w:val="27"/>
        </w:rPr>
        <w:t xml:space="preserve">постановлением Правительства Ульяновской области от </w:t>
      </w:r>
      <w:r>
        <w:rPr>
          <w:rFonts w:eastAsia="Calibri" w:cs="PT Astra Serif" w:ascii="PT Astra Serif" w:hAnsi="PT Astra Serif"/>
          <w:color w:val="000000"/>
          <w:sz w:val="28"/>
          <w:szCs w:val="27"/>
        </w:rPr>
        <w:t>21.10.2021 № 501-П «</w:t>
      </w:r>
      <w:r>
        <w:rPr>
          <w:rFonts w:cs="PT Astra Serif" w:ascii="PT Astra Serif" w:hAnsi="PT Astra Serif"/>
          <w:color w:val="000000"/>
          <w:sz w:val="28"/>
          <w:szCs w:val="27"/>
        </w:rPr>
        <w:t>Об утверждении Положения о</w:t>
      </w:r>
      <w:r>
        <w:rPr>
          <w:rFonts w:eastAsia="Calibri" w:cs="PT Astra Serif" w:ascii="PT Astra Serif" w:hAnsi="PT Astra Serif"/>
          <w:color w:val="auto"/>
          <w:sz w:val="28"/>
          <w:szCs w:val="27"/>
          <w:lang w:eastAsia="en-US"/>
        </w:rPr>
        <w:t xml:space="preserve"> 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cs="PT Astra Serif" w:ascii="PT Astra Serif" w:hAnsi="PT Astra Serif"/>
          <w:color w:val="000000"/>
          <w:sz w:val="28"/>
          <w:szCs w:val="27"/>
        </w:rPr>
        <w:t>»,</w:t>
      </w: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 следующие изменения:</w:t>
      </w:r>
    </w:p>
    <w:p>
      <w:pPr>
        <w:pStyle w:val="ListParagraph"/>
        <w:numPr>
          <w:ilvl w:val="0"/>
          <w:numId w:val="4"/>
        </w:numPr>
        <w:spacing w:lineRule="auto" w:line="228" w:before="0" w:after="0"/>
        <w:contextualSpacing/>
        <w:jc w:val="both"/>
        <w:rPr>
          <w:rFonts w:ascii="PT Astra Serif" w:hAnsi="PT Astra Serif" w:eastAsia="Calibri"/>
          <w:color w:val="auto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>пункт 1.7 раздела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«1.7.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Министерство обязано вести перечень объектов контроля, указанный в </w:t>
      </w:r>
      <w:r>
        <w:rPr>
          <w:rFonts w:ascii="PT Astra Serif" w:hAnsi="PT Astra Serif"/>
          <w:color w:val="auto"/>
          <w:sz w:val="28"/>
          <w:szCs w:val="28"/>
        </w:rPr>
        <w:t xml:space="preserve">подпункте «е» пункта 5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Российской Федерации от 24.10.2011 № 861             «О федеральных государственных информационных системах, обеспечивающих предоставление в электронной форме государственных                    и муниципальных услуг (осуществление функций)» (далее - перечень объектов контроля, Правила формирования и ведения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информационно-телекоммуникационной сети «Интернет» для отображения перечня объектов контроля (виджет)                   на официальном сайте Министерства в информационно-телекоммуникационной сети «Интернет».»;</w:t>
      </w:r>
    </w:p>
    <w:p>
      <w:pPr>
        <w:pStyle w:val="ListParagraph"/>
        <w:spacing w:lineRule="auto" w:line="228" w:before="0" w:after="0"/>
        <w:ind w:left="0"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2) в разделе 2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 пункты 2.5 и 2.6 изложить в следующей редакции: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 xml:space="preserve">«2.5.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Решения об отнесении объектов контроля к категории риска или                  об изменении категории риска, к которой ранее был отнесен объект контроля,                          в ходе осуществления регионального государственного контроля принимаются путем подписания в порядке, установленном пунктом 13 Правил формирования и ведения единого реестра видов контроля, данных об объекте контроля                    с указанием сведений о контролируемом лице, описания объекта контроля                и присвоенной категории риска в перечне объектов контроля.</w:t>
      </w:r>
    </w:p>
    <w:p>
      <w:pPr>
        <w:pStyle w:val="ListParagraph"/>
        <w:widowControl w:val="false"/>
        <w:shd w:val="clear" w:color="auto" w:fill="FFFFFF"/>
        <w:tabs>
          <w:tab w:val="clear" w:pos="720"/>
          <w:tab w:val="left" w:pos="1418" w:leader="none"/>
        </w:tabs>
        <w:spacing w:lineRule="auto" w:line="228" w:before="0" w:after="0"/>
        <w:ind w:left="0" w:firstLine="709"/>
        <w:contextualSpacing/>
        <w:jc w:val="both"/>
        <w:rPr/>
      </w:pPr>
      <w:r>
        <w:rPr>
          <w:rFonts w:ascii="PT Astra Serif" w:hAnsi="PT Astra Serif"/>
          <w:sz w:val="28"/>
        </w:rPr>
        <w:t>2.6. Индикатором риска нарушения обязательных требований является сокращение в течение трёх предшествующих лет более чем на 20 процентов численности вида редких и находящихся под угрозой исчезновения растений           на земельных (лесных) участках, расположенных в границах особо охраняемой природной территории регионального значения или в границах охранной зоны особо охраняемой природной территории регионального значения,                          на основании отчёта о проведении инвентаризации особо охраняемых природных территорий Ульяновской области.»;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auto"/>
          <w:sz w:val="28"/>
          <w:szCs w:val="28"/>
          <w:lang w:eastAsia="en-US"/>
        </w:rPr>
        <w:t>3)</w:t>
      </w:r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раздел 3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center"/>
        <w:rPr>
          <w:rFonts w:ascii="PT Astra Serif" w:hAnsi="PT Astra Serif" w:eastAsia="Calibri" w:cs="PT Astra Serif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en-US"/>
        </w:rPr>
        <w:t>«Учёт рисков причинения вреда (ущерба) охраняемым законом ценностям при проведении контрольных (надзорных) мероприятий»</w:t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center"/>
        <w:rPr>
          <w:rFonts w:ascii="PT Astra Serif" w:hAnsi="PT Astra Serif" w:eastAsia="Calibri" w:cs="PT Astra Serif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en-US"/>
        </w:rPr>
      </w:r>
    </w:p>
    <w:p>
      <w:pPr>
        <w:pStyle w:val="ListParagraph"/>
        <w:widowControl w:val="false"/>
        <w:shd w:val="clear" w:color="auto" w:fill="FFFFFF"/>
        <w:tabs>
          <w:tab w:val="clear" w:pos="720"/>
          <w:tab w:val="left" w:pos="1418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Плановые контрольные (надзорные) мероприятия в отношении объектов контроля в зависимости от категории риска проводятся со следующей периодичностью: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для категории значительного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2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рейдовый осмотр — один раз в 2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документарная проверка -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для категории среднего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рейдовый осмотр —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документарная проверка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5 лет;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для категории умеренного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рейдовый осмотр —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документарная проверка - один раз в 5 лет;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6 лет.</w:t>
      </w:r>
    </w:p>
    <w:p>
      <w:pPr>
        <w:pStyle w:val="ListParagraph"/>
        <w:widowControl w:val="false"/>
        <w:shd w:val="clear" w:color="auto" w:fill="FFFFFF"/>
        <w:tabs>
          <w:tab w:val="clear" w:pos="720"/>
          <w:tab w:val="left" w:pos="1418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Calibri" w:cs="PT Astra Serif" w:ascii="PT Astra Serif" w:hAnsi="PT Astra Serif"/>
          <w:color w:val="auto"/>
          <w:sz w:val="28"/>
          <w:szCs w:val="28"/>
          <w:lang w:eastAsia="en-US"/>
        </w:rPr>
        <w:t xml:space="preserve">В отношении объектов контроля, которые отнесены к категории низкого риска, плановые контрольные (надзорные) мероприятия не проводятся.»; 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bookmarkStart w:id="6" w:name="__DdeLink__792_2783811676"/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4) пункт 8.1 раздела 8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bookmarkStart w:id="7" w:name="__DdeLink__792_2783811676"/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>«В целях качественной оценки уровня защиты охраняемых законом ценностей в сфере регионального контроля (надзора) в области охраны особо охраняемых природных территорий используются ключевые показатели регионального государственного контроля (надзора) в области охраны                     и использования особо охраняемых природных территорий, индикативные показатели (далее — ключевые показатели), установленные приложением                    к настоящему Положению.»;</w:t>
      </w:r>
      <w:bookmarkEnd w:id="7"/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color w:val="auto"/>
          <w:sz w:val="28"/>
          <w:szCs w:val="28"/>
          <w:lang w:eastAsia="en-US"/>
        </w:rPr>
        <w:t xml:space="preserve">5)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приложение к Положению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«Приложение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к Положению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/>
      </w:pPr>
      <w:r>
        <w:rPr>
          <w:rFonts w:eastAsia="Calibri" w:ascii="PT Astra Serif" w:hAnsi="PT Astra Serif"/>
          <w:b/>
          <w:bCs/>
          <w:color w:val="000000"/>
          <w:sz w:val="28"/>
          <w:szCs w:val="28"/>
          <w:lang w:eastAsia="en-US"/>
        </w:rPr>
        <w:t xml:space="preserve">Ключевые показатели регионального государственного 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/>
      </w:pPr>
      <w:r>
        <w:rPr>
          <w:rFonts w:eastAsia="Calibri" w:ascii="PT Astra Serif" w:hAnsi="PT Astra Serif"/>
          <w:b/>
          <w:bCs/>
          <w:color w:val="000000"/>
          <w:sz w:val="28"/>
          <w:szCs w:val="28"/>
          <w:lang w:eastAsia="en-US"/>
        </w:rPr>
        <w:t>контроля (надзора) в области охраны и использования особо охраняемых природных территорий, индикативные показатели</w:t>
      </w:r>
    </w:p>
    <w:p>
      <w:pPr>
        <w:pStyle w:val="ListParagraph"/>
        <w:widowControl w:val="false"/>
        <w:shd w:val="clear" w:color="auto" w:fill="FFFFFF"/>
        <w:tabs>
          <w:tab w:val="clear" w:pos="720"/>
          <w:tab w:val="left" w:pos="1418" w:leader="none"/>
        </w:tabs>
        <w:spacing w:lineRule="auto" w:line="228" w:before="0" w:after="0"/>
        <w:ind w:left="0" w:firstLine="709"/>
        <w:contextualSpacing/>
        <w:jc w:val="both"/>
        <w:rPr>
          <w:rFonts w:ascii="PT Astra Serif" w:hAnsi="PT Astra Serif" w:cs="PT Astra Serif"/>
          <w:b/>
          <w:b/>
          <w:color w:val="000000"/>
          <w:sz w:val="28"/>
          <w:highlight w:val="yellow"/>
        </w:rPr>
      </w:pPr>
      <w:r>
        <w:rPr>
          <w:rFonts w:cs="PT Astra Serif" w:ascii="PT Astra Serif" w:hAnsi="PT Astra Serif"/>
          <w:b/>
          <w:color w:val="000000"/>
          <w:sz w:val="28"/>
          <w:highlight w:val="yellow"/>
        </w:rPr>
      </w:r>
    </w:p>
    <w:tbl>
      <w:tblPr>
        <w:tblW w:w="9615" w:type="dxa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4"/>
        <w:gridCol w:w="1725"/>
        <w:gridCol w:w="3150"/>
        <w:gridCol w:w="1350"/>
        <w:gridCol w:w="2536"/>
      </w:tblGrid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 xml:space="preserve">Номер 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Формула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расчёта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cs="PT Astra Serif"/>
                <w:color w:val="000000"/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</w:tbl>
    <w:p>
      <w:pPr>
        <w:pStyle w:val="Normal"/>
        <w:spacing w:lineRule="auto" w:line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687" w:type="dxa"/>
        <w:jc w:val="left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8"/>
        <w:gridCol w:w="1815"/>
        <w:gridCol w:w="3181"/>
        <w:gridCol w:w="1365"/>
        <w:gridCol w:w="2428"/>
      </w:tblGrid>
      <w:tr>
        <w:trPr>
          <w:tblHeader w:val="true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9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Ключевые показатели</w:t>
            </w:r>
          </w:p>
        </w:tc>
      </w:tr>
      <w:tr>
        <w:trPr>
          <w:trHeight w:val="227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/>
                <w:color w:val="000000"/>
                <w:spacing w:val="-4"/>
                <w:sz w:val="20"/>
                <w:szCs w:val="20"/>
              </w:rPr>
              <w:t>Причинение вреда окружающей среде в результате нарушений природоохранного законодательства на территории Ульяновской области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 xml:space="preserve">Муоопт=У(жр)+У(д)+У(в), 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 xml:space="preserve">где: </w:t>
            </w:r>
            <w:r>
              <w:rPr>
                <w:rFonts w:ascii="PT Astra Serif" w:hAnsi="PT Astra Serif"/>
                <w:sz w:val="20"/>
                <w:szCs w:val="20"/>
              </w:rPr>
              <w:t>МУоопт - вред, причиненный окружающей среде в результате нарушений режима особой охраны на особо охраняемых природных территориях регионального значения, рублей; У(жр) - вред, причиненный в результате уничтожения редких и находящихся под угрозой исчезновения видов животных или растений, занесенных в Красную книгу Российской Федерации и Красную книгу Ульяновской области, на особо охраняемых природных территориях регионального значения, рублей;У(д) - вред, причиненный вследствие нарушения лесного законодательства лесным насаждениям, рублей; У(в) - вред, причиненный водным объектам вследствие нарушения водного законодательства, рублей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 xml:space="preserve">Отчёты и иные аналитические материалы </w:t>
              <w:br/>
              <w:t>Министерства природных ресурсов и экологии Ульяновской области (далее - Министерство)</w:t>
            </w:r>
          </w:p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cs="PT Astra Serif"/>
                <w:color w:val="000000"/>
              </w:rPr>
            </w:pPr>
            <w:r>
              <w:rPr>
                <w:rFonts w:cs="PT Astra Serif"/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9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Индикативные показатели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Эффективность 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регионального </w:t>
            </w:r>
            <w:r>
              <w:rPr>
                <w:rFonts w:cs="PT Astra Serif"/>
                <w:color w:val="000000"/>
                <w:spacing w:val="-4"/>
                <w:sz w:val="20"/>
                <w:szCs w:val="20"/>
              </w:rPr>
              <w:t xml:space="preserve"> государственного </w:t>
            </w:r>
            <w:bookmarkStart w:id="8" w:name="__DdeLink__482_34639529521"/>
            <w:r>
              <w:rPr>
                <w:rFonts w:cs="PT Astra Serif"/>
                <w:color w:val="000000"/>
                <w:spacing w:val="-4"/>
                <w:sz w:val="20"/>
                <w:szCs w:val="20"/>
              </w:rPr>
              <w:t>контроля (надзора)</w:t>
            </w:r>
            <w:bookmarkEnd w:id="8"/>
            <w:r>
              <w:rPr>
                <w:rFonts w:cs="PT Astra Serif"/>
                <w:color w:val="000000"/>
                <w:spacing w:val="-4"/>
                <w:sz w:val="20"/>
                <w:szCs w:val="20"/>
              </w:rPr>
              <w:t xml:space="preserve">                      в области охраны и использования особо охраняемых природных территорий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(У(Т)/У(Т-1) х 100 %,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sz w:val="20"/>
                <w:szCs w:val="20"/>
              </w:rPr>
              <w:t xml:space="preserve">где: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У(Т) – разница между причинённым ущербом  в предшествующем периоде (Т-1) и причинённым ущербом в текущем периоде (Т), 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рублей;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 (Т-1) –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cs="PT Astra Serif" w:ascii="PT Astra Serif" w:hAnsi="PT Astra Serif"/>
                <w:sz w:val="20"/>
                <w:szCs w:val="20"/>
              </w:rPr>
              <w:t>причинённый ущерб в предшествующем периоде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(Т-1), 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>рублей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000000"/>
                <w:spacing w:val="-4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</w:rPr>
            </w:r>
          </w:p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 xml:space="preserve">Отчёты и иные аналитические материалы </w:t>
              <w:br/>
              <w:t xml:space="preserve">Министерства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cs="PT Astra Serif"/>
                <w:color w:val="000000"/>
              </w:rPr>
            </w:pPr>
            <w:r>
              <w:rPr>
                <w:rFonts w:cs="PT Astra Serif"/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Количество предписаний             об устранении выявленных нарушений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 xml:space="preserve">Отчёты 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1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Количество невыполненных предписаний об устранении выявленных нарушений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 xml:space="preserve">Пнев = Побщ — Пвып, 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где: Пнев - количество невыполненных предписаний об устранении выявленных нарушений,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Побщ — общее количество предписаний об устранении выявленных нарушений,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Пвып — количество выполненных предписаний об устранении выявленных нарушений, шт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PT Astra Serif"/>
                <w:color w:val="000000"/>
                <w:sz w:val="20"/>
                <w:szCs w:val="20"/>
              </w:rPr>
              <w:t xml:space="preserve">Отчёты 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04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Общее количество 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 xml:space="preserve">плановых </w:t>
            </w:r>
            <w:bookmarkStart w:id="9" w:name="__DdeLink__4466_379217769413"/>
            <w:r>
              <w:rPr>
                <w:rFonts w:ascii="PT Astra Serif" w:hAnsi="PT Astra Serif"/>
                <w:sz w:val="20"/>
                <w:szCs w:val="20"/>
              </w:rPr>
              <w:t>контрольных (надзорных) мероприятий</w:t>
            </w:r>
            <w:bookmarkEnd w:id="9"/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pacing w:lineRule="atLeast" w:line="240" w:before="0" w:after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Общее количество внеплановых контрольных (надзорных) мероприятий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pacing w:before="0" w:after="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Общее количество контрольных (надзорных) мероприятий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КНМобщ = КНМпл + КНМвн, 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 КНМобщ - общее количество контрольных (надзорных) мероприятий,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КНМпл - общее количество 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плановых </w:t>
            </w:r>
            <w:bookmarkStart w:id="10" w:name="__DdeLink__4466_3792177694112"/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контрольных (надзорных) мероприятий</w:t>
            </w:r>
            <w:bookmarkEnd w:id="10"/>
            <w:r>
              <w:rPr>
                <w:rFonts w:ascii="PT Astra Serif" w:hAnsi="PT Astra Serif"/>
                <w:color w:val="000000"/>
                <w:sz w:val="20"/>
                <w:szCs w:val="20"/>
              </w:rPr>
              <w:t>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КНМвн - общее количество внеплановых контрольных (надзорных) мероприятий, шт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21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PT Astra Serif" w:hAnsi="PT Astra Serif"/>
                <w:sz w:val="20"/>
                <w:szCs w:val="20"/>
              </w:rPr>
              <w:t>Количество штатных единиц, в должностные обязанности которых входит выполнение контрольно-надзорных функций, человек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штатного расписания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right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».</w:t>
      </w:r>
    </w:p>
    <w:p>
      <w:pPr>
        <w:pStyle w:val="Normal"/>
        <w:shd w:val="clear" w:color="auto" w:fill="FFFFFF"/>
        <w:spacing w:lineRule="auto" w:line="228"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auto"/>
          <w:sz w:val="28"/>
          <w:szCs w:val="28"/>
        </w:rPr>
        <w:t xml:space="preserve">3. Внести в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Положение о 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региональном государственном геологическом контроле (надзоре), </w:t>
      </w: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утверждённое </w:t>
      </w:r>
      <w:r>
        <w:rPr>
          <w:rFonts w:cs="PT Astra Serif" w:ascii="PT Astra Serif" w:hAnsi="PT Astra Serif"/>
          <w:color w:val="000000"/>
          <w:sz w:val="28"/>
          <w:szCs w:val="27"/>
        </w:rPr>
        <w:t>постановлением Правительства Ульяновской области от 28.10.2021 № 560-П «Об утверждении Положения о региональном государственном геологическом контроле (надзоре)»,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>следующие изменения:</w:t>
      </w:r>
    </w:p>
    <w:p>
      <w:pPr>
        <w:pStyle w:val="Normal"/>
        <w:spacing w:lineRule="auto" w:line="228" w:before="0" w:after="0"/>
        <w:ind w:firstLine="709"/>
        <w:jc w:val="both"/>
        <w:rPr>
          <w:rFonts w:ascii="PT Astra Serif" w:hAnsi="PT Astra Serif" w:eastAsia="Calibri"/>
          <w:color w:val="auto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>1) пункт 1.8 раздела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«1.8.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Министерство обязано вести перечень объектов контроля, указанный в </w:t>
      </w:r>
      <w:r>
        <w:rPr>
          <w:rFonts w:ascii="PT Astra Serif" w:hAnsi="PT Astra Serif"/>
          <w:color w:val="auto"/>
          <w:sz w:val="28"/>
          <w:szCs w:val="28"/>
        </w:rPr>
        <w:t xml:space="preserve">подпункте «е» пункта 5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Российской Федерации от 24.10.2011 № 861          «О федеральных государственных информационных системах, обеспечивающих предоставление в электронной форме государственных                   и муниципальных услуг (осуществление функций)» (далее - перечень объектов контроля, Правила формирования и ведения единого реестра видов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информационно-телекоммуникационной сети «Интернет» для отображения перечня объектов контроля (виджет)                    на официальном сайте Министерства в информационно-телекоммуникационной сети «Интернет».»;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28" w:before="0" w:after="0"/>
        <w:contextualSpacing/>
        <w:jc w:val="both"/>
        <w:rPr>
          <w:rFonts w:ascii="PT Astra Serif" w:hAnsi="PT Astra Serif" w:eastAsia="Calibri"/>
          <w:color w:val="auto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>пункт 2.8 раздела 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 xml:space="preserve">«2.8.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Решения об отнесении объектов контроля к категории риска или                  об изменении категории риска, к которой ранее был отнесен объект контроля,                          в ходе осуществления регионального государственного контроля принимаются путем подписания в порядке, установленном пунктом 13 Правил формирования и ведения единого реестра видов контроля, данных об объекте контроля                    с указанием сведений о контролируемом лице, описания объекта контроля                и присвоенной категории риска в перечне объектов контроля.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»;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3)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раздел 3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center"/>
        <w:rPr>
          <w:rFonts w:ascii="PT Astra Serif" w:hAnsi="PT Astra Serif" w:eastAsia="Calibri" w:cs="PT Astra Serif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b/>
          <w:bCs/>
          <w:color w:val="000000"/>
          <w:sz w:val="28"/>
          <w:szCs w:val="28"/>
          <w:lang w:eastAsia="en-US"/>
        </w:rPr>
        <w:t>«Учёт рисков причинения вреда (ущерба) охраняемым законом ценностям при проведении контрольных (надзорных) мероприятий»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Плановые контрольные (надзорные) мероприятия в отношении объектов контроля в зависимости от категории риска проводятся со следующей периодичностью: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для категории значительного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2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рейдовый осмотр —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документарная проверка -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для категории среднего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3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рейдовый осмотр —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документарная проверка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5 лет;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для категории умеренного риска одно из следующих контрольных (надзорных) мероприятий: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инспекционный визит -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рейдовый осмотр — один раз в 4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документарная проверка - один раз в 5 лет;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выездная проверка - один раз в 6 лет.</w:t>
      </w:r>
    </w:p>
    <w:p>
      <w:pPr>
        <w:pStyle w:val="Normal"/>
        <w:shd w:val="clear" w:color="auto" w:fill="FFFFFF"/>
        <w:tabs>
          <w:tab w:val="clear" w:pos="720"/>
          <w:tab w:val="left" w:pos="1418" w:leader="none"/>
        </w:tabs>
        <w:spacing w:lineRule="auto" w:line="240" w:before="0" w:after="0"/>
        <w:ind w:firstLine="709"/>
        <w:jc w:val="both"/>
        <w:rPr>
          <w:rFonts w:ascii="PT Astra Serif" w:hAnsi="PT Astra Serif" w:eastAsia="Calibri" w:cs="PT Astra Serif"/>
          <w:color w:val="auto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auto"/>
          <w:sz w:val="28"/>
          <w:szCs w:val="28"/>
          <w:lang w:eastAsia="en-US"/>
        </w:rPr>
        <w:t>В отношении объектов контроля, которые отнесены к категории низкого риска, плановые контрольные (надзорные) мероприятия не проводятся.»;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4) пункт 8.1 раздела 8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color w:val="000000"/>
          <w:sz w:val="28"/>
          <w:szCs w:val="28"/>
          <w:lang w:eastAsia="en-US"/>
        </w:rPr>
        <w:t>«В целях качественной оценки уровня защиты охраняемых законом ценностей в области регионального геологического контроля используются ключевые показатели регионального государственного геологического контроля (надзора), индикативные показатели (далее — ключевые показатели), установленные приложением к настоящему Положению.»;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color w:val="auto"/>
          <w:sz w:val="28"/>
          <w:szCs w:val="28"/>
          <w:lang w:eastAsia="en-US"/>
        </w:rPr>
        <w:t xml:space="preserve">5)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приложение к Положению изложить в следующей редакции: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«Приложение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к Положению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ind w:left="7088" w:hanging="0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>
          <w:rFonts w:ascii="PT Astra Serif" w:hAnsi="PT Astra Serif" w:eastAsia="Calibri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b/>
          <w:bCs/>
          <w:color w:val="000000"/>
          <w:sz w:val="28"/>
          <w:szCs w:val="28"/>
          <w:lang w:eastAsia="en-US"/>
        </w:rPr>
        <w:t>ПЕРЕЧЕНЬ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/>
      </w:pPr>
      <w:r>
        <w:rPr>
          <w:rFonts w:eastAsia="Calibri" w:ascii="PT Astra Serif" w:hAnsi="PT Astra Serif"/>
          <w:b/>
          <w:bCs/>
          <w:color w:val="000000"/>
          <w:sz w:val="28"/>
          <w:szCs w:val="28"/>
          <w:lang w:eastAsia="en-US"/>
        </w:rPr>
        <w:t>ключевые показатели регионального государственного геологического контроля (надзора), индикативные показатели</w:t>
      </w:r>
    </w:p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>
          <w:rFonts w:ascii="PT Astra Serif" w:hAnsi="PT Astra Serif" w:eastAsia="Calibri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b/>
          <w:bCs/>
          <w:color w:val="000000"/>
          <w:sz w:val="28"/>
          <w:szCs w:val="28"/>
          <w:lang w:eastAsia="en-US"/>
        </w:rPr>
      </w:r>
    </w:p>
    <w:tbl>
      <w:tblPr>
        <w:tblW w:w="9615" w:type="dxa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5"/>
        <w:gridCol w:w="1484"/>
        <w:gridCol w:w="3414"/>
        <w:gridCol w:w="1303"/>
        <w:gridCol w:w="2269"/>
      </w:tblGrid>
      <w:tr>
        <w:trPr/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Номер (индекс) показателя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Формула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расчёта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cs="PT Astra Serif"/>
              </w:rPr>
            </w:pPr>
            <w:r>
              <w:rPr>
                <w:rFonts w:cs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center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tbl>
      <w:tblPr>
        <w:tblW w:w="9570" w:type="dxa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03"/>
        <w:gridCol w:w="1593"/>
        <w:gridCol w:w="3419"/>
        <w:gridCol w:w="1185"/>
        <w:gridCol w:w="2370"/>
      </w:tblGrid>
      <w:tr>
        <w:trPr>
          <w:tblHeader w:val="true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Ключевые показатели</w:t>
            </w:r>
          </w:p>
        </w:tc>
      </w:tr>
      <w:tr>
        <w:trPr>
          <w:trHeight w:val="2271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Причинение вреда окружающей среде в результате незаконной добычи недр на территории Ульяновской области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Lз = Nбз x Р </w:t>
            </w: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 xml:space="preserve">,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  <w:sz w:val="20"/>
                <w:szCs w:val="20"/>
              </w:rPr>
              <w:t xml:space="preserve">где: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Lз - вред, причиненный окружающей среде в результате незаконной добычи недр, рублей; Nбз - объем учтенных запасов и неучтенных полезных ископаемых, утраченных в результате самовольного пользования недрами, куб. м; Р - стоимость единицы полезного ископаемого, определяемая по средней рыночной цене его реализации за 6 месяцев, предшествующих месяцу, в котором было выявлено совершенное правонарушение, рублей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right="57" w:hanging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right="57" w:hanging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Отчеты и иные аналитические материалы Министерства природных ресурсов и экологии Ульяновской области (далее - Министерство) </w:t>
            </w:r>
          </w:p>
          <w:p>
            <w:pPr>
              <w:pStyle w:val="ConsPlusNormal1"/>
              <w:spacing w:before="0" w:after="200"/>
              <w:ind w:right="57" w:hanging="0"/>
              <w:contextualSpacing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cs="PT Astra Serif" w:ascii="PT Astra Serif" w:hAnsi="PT Astra Serif"/>
                <w:color w:val="000000"/>
              </w:rPr>
            </w:r>
          </w:p>
        </w:tc>
      </w:tr>
      <w:tr>
        <w:trPr>
          <w:trHeight w:val="60" w:hRule="atLeast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Индикативные показатели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Эффективность регионального геологического контроля (надзора)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(У(Т) / У(Т-1) x 100 %, где: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0" w:hAnsi="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У(Т) - разница между причиненным ущербом в предшествующем периоде (Т-1) и причиненным ущербом в текущем периоде (Т), рублей; У(Т-1) - причиненный ущерб в предшествующем периоде (Т-1), рублей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000000"/>
                <w:spacing w:val="-4"/>
              </w:rPr>
            </w:pPr>
            <w:r>
              <w:rPr>
                <w:rFonts w:cs="PT Astra Serif" w:ascii="PT Astra Serif" w:hAnsi="PT Astra Serif"/>
                <w:color w:val="000000"/>
                <w:spacing w:val="-4"/>
              </w:rPr>
            </w:r>
          </w:p>
          <w:p>
            <w:pPr>
              <w:pStyle w:val="ConsPlusNormal1"/>
              <w:snapToGrid w:val="false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Отчеты и иные аналитические материалы Министерства </w:t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предписаний             об устранении выявленных нарушений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 xml:space="preserve">Отчёты 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1511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невыполненных предписаний об устранении выявленных нарушений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Пнев = Побщ — Пвып,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где: Пнев - количество невыполненных предписаний об устранении выявленных нарушений,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Побщ — общее количество предписаний об устранении выявленных нарушений,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Пвып — количество выполненных предписаний об устранении выявленных нарушений, шт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 xml:space="preserve">Отчёты 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1104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Общее количество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плановых </w:t>
            </w:r>
            <w:bookmarkStart w:id="11" w:name="__DdeLink__4466_3792177694132"/>
            <w:r>
              <w:rPr>
                <w:rFonts w:ascii="PT Astra Serif" w:hAnsi="PT Astra Serif"/>
                <w:sz w:val="20"/>
                <w:szCs w:val="20"/>
              </w:rPr>
              <w:t>контрольных (надзорных) мероприятий</w:t>
            </w:r>
            <w:bookmarkEnd w:id="11"/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pacing w:lineRule="atLeast" w:line="240" w:before="0" w:after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Общее количество внеплановых контрольных (надзорных) мероприятий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pacing w:before="0" w:after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Общее количество контрольных (надзорных) мероприятий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КНМобщ = КНМпл + КНМвн,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где: КНМобщ - общее количество контрольных (надзорных) мероприятий,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КНМпл - общее количество 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плановых </w:t>
            </w:r>
            <w:bookmarkStart w:id="12" w:name="__DdeLink__4466_37921776941122"/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контрольных (надзорных) мероприятий</w:t>
            </w:r>
            <w:bookmarkEnd w:id="12"/>
            <w:r>
              <w:rPr>
                <w:rFonts w:ascii="PT Astra Serif" w:hAnsi="PT Astra Serif"/>
                <w:color w:val="000000"/>
                <w:sz w:val="20"/>
                <w:szCs w:val="20"/>
              </w:rPr>
              <w:t>, шт;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КНМвн - общее количество внеплановых контрольных (надзорных) мероприятий, шт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0"/>
                <w:szCs w:val="20"/>
              </w:rPr>
              <w:t>Отчёты</w:t>
              <w:br/>
              <w:t xml:space="preserve">и иные аналитические материалы </w:t>
              <w:br/>
              <w:t>Министерства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15" w:hRule="atLeast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штатных единиц, в должностные обязанности которых входит выполнение контрольно-надзорных функций, человек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Прямой подсчёт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Данные штатного расписания</w:t>
            </w:r>
          </w:p>
          <w:p>
            <w:pPr>
              <w:pStyle w:val="ConsPlusNormal1"/>
              <w:spacing w:before="0" w:after="20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spacing w:lineRule="auto" w:line="228" w:before="0" w:after="0"/>
        <w:contextualSpacing/>
        <w:jc w:val="right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».</w:t>
      </w:r>
    </w:p>
    <w:p>
      <w:pPr>
        <w:pStyle w:val="Normal"/>
        <w:shd w:val="clear" w:color="auto" w:fill="FFFFFF"/>
        <w:spacing w:lineRule="auto" w:line="228"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auto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28" w:before="0" w:after="0"/>
        <w:ind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ind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28"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>
      <w:pPr>
        <w:pStyle w:val="Normal"/>
        <w:widowControl w:val="false"/>
        <w:spacing w:lineRule="auto" w:line="228" w:before="0" w:after="0"/>
        <w:contextualSpacing/>
        <w:rPr/>
      </w:pPr>
      <w:hyperlink r:id="rId2">
        <w:r>
          <w:rPr>
            <w:rStyle w:val="ListLabel18"/>
          </w:rPr>
          <w:t>Правительства области                                                                         В.Н.Разумков</w:t>
        </w:r>
      </w:hyperlink>
    </w:p>
    <w:sectPr>
      <w:headerReference w:type="default" r:id="rId3"/>
      <w:type w:val="nextPage"/>
      <w:pgSz w:w="11906" w:h="16838"/>
      <w:pgMar w:left="1701" w:right="566" w:header="840" w:top="1392" w:footer="0" w:bottom="80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0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56331979"/>
    </w:sdtPr>
    <w:sdtContent>
      <w:p>
        <w:pPr>
          <w:pStyle w:val="4"/>
          <w:jc w:val="center"/>
          <w:rPr/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sz w:val="28"/>
            <w:rFonts w:ascii="PT Astra Serif" w:hAnsi="PT Astra Serif"/>
          </w:rPr>
          <w:instrText> PAGE </w:instrText>
        </w:r>
        <w:r>
          <w:rPr>
            <w:sz w:val="28"/>
            <w:rFonts w:ascii="PT Astra Serif" w:hAnsi="PT Astra Serif"/>
          </w:rPr>
          <w:fldChar w:fldCharType="separate"/>
        </w:r>
        <w:r>
          <w:rPr>
            <w:sz w:val="28"/>
            <w:rFonts w:ascii="PT Astra Serif" w:hAnsi="PT Astra Serif"/>
          </w:rPr>
          <w:t>0</w:t>
        </w:r>
        <w:r>
          <w:rPr>
            <w:sz w:val="28"/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3be"/>
    <w:pPr>
      <w:widowControl/>
      <w:bidi w:val="0"/>
      <w:spacing w:lineRule="auto" w:line="276" w:before="0" w:after="200"/>
      <w:jc w:val="left"/>
    </w:pPr>
    <w:rPr>
      <w:rFonts w:eastAsia="Times New Roman" w:cs="Times New Roman" w:ascii="Calibri" w:hAnsi="Calibri"/>
      <w:color w:val="00000A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e143be"/>
    <w:rPr>
      <w:color w:val="0000FF"/>
      <w:u w:val="single"/>
    </w:rPr>
  </w:style>
  <w:style w:type="character" w:styleId="FootnoteTextChar" w:customStyle="1">
    <w:name w:val="Footnote Text Char"/>
    <w:basedOn w:val="DefaultParagraphFont"/>
    <w:qFormat/>
    <w:rsid w:val="00e143be"/>
    <w:rPr>
      <w:sz w:val="20"/>
    </w:rPr>
  </w:style>
  <w:style w:type="character" w:styleId="Style15" w:customStyle="1">
    <w:name w:val="Привязка сноски"/>
    <w:rsid w:val="00e143be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e143be"/>
    <w:rPr>
      <w:vertAlign w:val="superscript"/>
    </w:rPr>
  </w:style>
  <w:style w:type="character" w:styleId="Appleconvertedspace" w:customStyle="1">
    <w:name w:val="apple-converted-space"/>
    <w:basedOn w:val="DefaultParagraphFont"/>
    <w:qFormat/>
    <w:rsid w:val="00e143be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e143be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qFormat/>
    <w:rsid w:val="00e143be"/>
    <w:rPr>
      <w:rFonts w:ascii="Calibri" w:hAnsi="Calibri" w:eastAsia="Times New Roman" w:cs="Times New Roman"/>
      <w:lang w:eastAsia="ru-RU"/>
    </w:rPr>
  </w:style>
  <w:style w:type="character" w:styleId="ConsPlusNormal" w:customStyle="1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styleId="Style18" w:customStyle="1">
    <w:name w:val="Текст выноски Знак"/>
    <w:basedOn w:val="DefaultParagraphFont"/>
    <w:qFormat/>
    <w:rsid w:val="00e143be"/>
    <w:rPr>
      <w:rFonts w:ascii="Tahoma" w:hAnsi="Tahoma" w:eastAsia="Times New Roman" w:cs="Tahoma"/>
      <w:sz w:val="16"/>
      <w:szCs w:val="16"/>
      <w:lang w:eastAsia="ru-RU"/>
    </w:rPr>
  </w:style>
  <w:style w:type="character" w:styleId="Style19" w:customStyle="1">
    <w:name w:val="Гипертекстовая ссылка"/>
    <w:qFormat/>
    <w:rsid w:val="00e143be"/>
    <w:rPr>
      <w:rFonts w:cs="Times New Roman"/>
      <w:color w:val="106BBE"/>
    </w:rPr>
  </w:style>
  <w:style w:type="character" w:styleId="Style20" w:customStyle="1">
    <w:name w:val="Символ нумерации"/>
    <w:qFormat/>
    <w:rsid w:val="00e143be"/>
    <w:rPr/>
  </w:style>
  <w:style w:type="character" w:styleId="ListLabel1" w:customStyle="1">
    <w:name w:val="ListLabel 1"/>
    <w:qFormat/>
    <w:rsid w:val="00e143be"/>
    <w:rPr>
      <w:rFonts w:ascii="PT Astra Serif" w:hAnsi="PT Astra Serif"/>
      <w:sz w:val="28"/>
    </w:rPr>
  </w:style>
  <w:style w:type="character" w:styleId="ListLabel2" w:customStyle="1">
    <w:name w:val="ListLabel 2"/>
    <w:qFormat/>
    <w:rsid w:val="00e143be"/>
    <w:rPr>
      <w:rFonts w:ascii="PT Astra Serif" w:hAnsi="PT Astra Serif"/>
      <w:sz w:val="28"/>
    </w:rPr>
  </w:style>
  <w:style w:type="character" w:styleId="ListLabel3" w:customStyle="1">
    <w:name w:val="ListLabel 3"/>
    <w:qFormat/>
    <w:rsid w:val="00e143be"/>
    <w:rPr>
      <w:rFonts w:ascii="PT Astra Serif" w:hAnsi="PT Astra Serif"/>
      <w:sz w:val="28"/>
    </w:rPr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styleId="ListLabel4" w:customStyle="1">
    <w:name w:val="ListLabel 4"/>
    <w:qFormat/>
    <w:rsid w:val="009b5d06"/>
    <w:rPr>
      <w:rFonts w:ascii="PT Astra Serif" w:hAnsi="PT Astra Serif"/>
      <w:sz w:val="28"/>
    </w:rPr>
  </w:style>
  <w:style w:type="character" w:styleId="ListLabel5" w:customStyle="1">
    <w:name w:val="ListLabel 5"/>
    <w:qFormat/>
    <w:rsid w:val="009b5d06"/>
    <w:rPr>
      <w:rFonts w:ascii="PT Astra Serif" w:hAnsi="PT Astra Serif"/>
      <w:sz w:val="28"/>
    </w:rPr>
  </w:style>
  <w:style w:type="character" w:styleId="ListLabel6" w:customStyle="1">
    <w:name w:val="ListLabel 6"/>
    <w:qFormat/>
    <w:rsid w:val="009b5d06"/>
    <w:rPr>
      <w:rFonts w:ascii="PT Astra Serif" w:hAnsi="PT Astra Serif"/>
      <w:sz w:val="28"/>
    </w:rPr>
  </w:style>
  <w:style w:type="character" w:styleId="ListLabel7" w:customStyle="1">
    <w:name w:val="ListLabel 7"/>
    <w:qFormat/>
    <w:rsid w:val="009b5d06"/>
    <w:rPr>
      <w:rFonts w:ascii="PT Astra Serif" w:hAnsi="PT Astra Serif"/>
      <w:sz w:val="28"/>
    </w:rPr>
  </w:style>
  <w:style w:type="character" w:styleId="ListLabel8" w:customStyle="1">
    <w:name w:val="ListLabel 8"/>
    <w:qFormat/>
    <w:rsid w:val="009b5d06"/>
    <w:rPr>
      <w:rFonts w:ascii="PT Astra Serif" w:hAnsi="PT Astra Serif" w:eastAsia="Calibri" w:cs="PT Astra Serif"/>
      <w:color w:val="000000"/>
      <w:sz w:val="28"/>
      <w:szCs w:val="28"/>
      <w:u w:val="none"/>
      <w:lang w:val="ru-RU" w:eastAsia="en-US"/>
    </w:rPr>
  </w:style>
  <w:style w:type="character" w:styleId="ListLabel9" w:customStyle="1">
    <w:name w:val="ListLabel 9"/>
    <w:qFormat/>
    <w:rsid w:val="009b5d06"/>
    <w:rPr>
      <w:rFonts w:ascii="PT Astra Serif" w:hAnsi="PT Astra Serif"/>
      <w:sz w:val="28"/>
    </w:rPr>
  </w:style>
  <w:style w:type="character" w:styleId="ListLabel10" w:customStyle="1">
    <w:name w:val="ListLabel 10"/>
    <w:qFormat/>
    <w:rsid w:val="009b5d06"/>
    <w:rPr>
      <w:rFonts w:ascii="PT Astra Serif" w:hAnsi="PT Astra Serif" w:eastAsia="Calibri" w:cs="PT Astra Serif"/>
      <w:color w:val="000000"/>
      <w:sz w:val="28"/>
      <w:szCs w:val="28"/>
      <w:highlight w:val="yellow"/>
      <w:u w:val="none"/>
      <w:lang w:val="ru-RU" w:eastAsia="en-US"/>
    </w:rPr>
  </w:style>
  <w:style w:type="character" w:styleId="ListLabel11" w:customStyle="1">
    <w:name w:val="ListLabel 11"/>
    <w:qFormat/>
    <w:rsid w:val="009b5d06"/>
    <w:rPr>
      <w:rFonts w:ascii="PT Astra Serif" w:hAnsi="PT Astra Serif"/>
      <w:sz w:val="28"/>
    </w:rPr>
  </w:style>
  <w:style w:type="character" w:styleId="ListLabel12" w:customStyle="1">
    <w:name w:val="ListLabel 12"/>
    <w:qFormat/>
    <w:rsid w:val="009b5d06"/>
    <w:rPr>
      <w:rFonts w:ascii="PT Astra Serif" w:hAnsi="PT Astra Serif" w:eastAsia="Calibri" w:cs="PT Astra Serif"/>
      <w:color w:val="000000"/>
      <w:sz w:val="28"/>
      <w:szCs w:val="28"/>
      <w:u w:val="none"/>
      <w:lang w:val="ru-RU" w:eastAsia="en-US"/>
    </w:rPr>
  </w:style>
  <w:style w:type="character" w:styleId="ListLabel13" w:customStyle="1">
    <w:name w:val="ListLabel 13"/>
    <w:qFormat/>
    <w:rsid w:val="009b5d06"/>
    <w:rPr>
      <w:rFonts w:ascii="PT Astra Serif" w:hAnsi="PT Astra Serif"/>
      <w:sz w:val="28"/>
    </w:rPr>
  </w:style>
  <w:style w:type="character" w:styleId="ListLabel14" w:customStyle="1">
    <w:name w:val="ListLabel 14"/>
    <w:qFormat/>
    <w:rsid w:val="009b5d06"/>
    <w:rPr>
      <w:rFonts w:ascii="PT Astra Serif" w:hAnsi="PT Astra Serif" w:eastAsia="Calibri" w:cs="PT Astra Serif"/>
      <w:color w:val="000000"/>
      <w:sz w:val="28"/>
      <w:szCs w:val="28"/>
      <w:u w:val="none"/>
      <w:lang w:val="ru-RU" w:eastAsia="en-US"/>
    </w:rPr>
  </w:style>
  <w:style w:type="character" w:styleId="ListLabel15" w:customStyle="1">
    <w:name w:val="ListLabel 15"/>
    <w:qFormat/>
    <w:rsid w:val="009b5d06"/>
    <w:rPr>
      <w:rFonts w:ascii="PT Astra Serif" w:hAnsi="PT Astra Serif"/>
      <w:sz w:val="28"/>
    </w:rPr>
  </w:style>
  <w:style w:type="character" w:styleId="ListLabel16" w:customStyle="1">
    <w:name w:val="ListLabel 16"/>
    <w:qFormat/>
    <w:rsid w:val="009b5d06"/>
    <w:rPr>
      <w:rFonts w:ascii="PT Astra Serif" w:hAnsi="PT Astra Serif" w:eastAsia="Calibri" w:cs="PT Astra Serif"/>
      <w:color w:val="000000"/>
      <w:sz w:val="28"/>
      <w:szCs w:val="28"/>
      <w:u w:val="none"/>
      <w:lang w:val="ru-RU" w:eastAsia="en-US"/>
    </w:rPr>
  </w:style>
  <w:style w:type="character" w:styleId="FontStyle21" w:customStyle="1">
    <w:name w:val="Font Style21"/>
    <w:basedOn w:val="DefaultParagraphFont"/>
    <w:qFormat/>
    <w:rsid w:val="009b5d06"/>
    <w:rPr>
      <w:rFonts w:ascii="Times New Roman" w:hAnsi="Times New Roman" w:cs="Times New Roman"/>
      <w:sz w:val="26"/>
      <w:szCs w:val="26"/>
    </w:rPr>
  </w:style>
  <w:style w:type="character" w:styleId="ListLabel17" w:customStyle="1">
    <w:name w:val="ListLabel 17"/>
    <w:qFormat/>
    <w:rsid w:val="009b5d06"/>
    <w:rPr>
      <w:sz w:val="28"/>
    </w:rPr>
  </w:style>
  <w:style w:type="character" w:styleId="ListLabel18" w:customStyle="1">
    <w:name w:val="ListLabel 18"/>
    <w:qFormat/>
    <w:rsid w:val="009b5d06"/>
    <w:rPr>
      <w:rFonts w:ascii="PT Astra Serif" w:hAnsi="PT Astra Serif"/>
      <w:color w:val="auto"/>
      <w:sz w:val="28"/>
      <w:szCs w:val="28"/>
    </w:rPr>
  </w:style>
  <w:style w:type="character" w:styleId="ListLabel19" w:customStyle="1">
    <w:name w:val="ListLabel 19"/>
    <w:qFormat/>
    <w:rPr>
      <w:sz w:val="28"/>
    </w:rPr>
  </w:style>
  <w:style w:type="character" w:styleId="ListLabel20" w:customStyle="1">
    <w:name w:val="ListLabel 20"/>
    <w:qFormat/>
    <w:rPr/>
  </w:style>
  <w:style w:type="character" w:styleId="ListLabel21" w:customStyle="1">
    <w:name w:val="ListLabel 21"/>
    <w:qFormat/>
    <w:rPr>
      <w:sz w:val="28"/>
    </w:rPr>
  </w:style>
  <w:style w:type="character" w:styleId="ListLabel22" w:customStyle="1">
    <w:name w:val="ListLabel 22"/>
    <w:qFormat/>
    <w:rPr/>
  </w:style>
  <w:style w:type="character" w:styleId="ListLabel23" w:customStyle="1">
    <w:name w:val="ListLabel 23"/>
    <w:qFormat/>
    <w:rPr>
      <w:sz w:val="28"/>
    </w:rPr>
  </w:style>
  <w:style w:type="character" w:styleId="ListLabel24" w:customStyle="1">
    <w:name w:val="ListLabel 24"/>
    <w:qFormat/>
    <w:rPr/>
  </w:style>
  <w:style w:type="character" w:styleId="ListLabel25" w:customStyle="1">
    <w:name w:val="ListLabel 25"/>
    <w:qFormat/>
    <w:rPr>
      <w:sz w:val="28"/>
    </w:rPr>
  </w:style>
  <w:style w:type="character" w:styleId="ListLabel26" w:customStyle="1">
    <w:name w:val="ListLabel 26"/>
    <w:qFormat/>
    <w:rPr/>
  </w:style>
  <w:style w:type="character" w:styleId="ListLabel27" w:customStyle="1">
    <w:name w:val="ListLabel 27"/>
    <w:qFormat/>
    <w:rPr>
      <w:sz w:val="28"/>
    </w:rPr>
  </w:style>
  <w:style w:type="character" w:styleId="ListLabel28" w:customStyle="1">
    <w:name w:val="ListLabel 28"/>
    <w:qFormat/>
    <w:rPr/>
  </w:style>
  <w:style w:type="character" w:styleId="ListLabel29" w:customStyle="1">
    <w:name w:val="ListLabel 29"/>
    <w:qFormat/>
    <w:rPr>
      <w:sz w:val="28"/>
    </w:rPr>
  </w:style>
  <w:style w:type="character" w:styleId="ListLabel30" w:customStyle="1">
    <w:name w:val="ListLabel 30"/>
    <w:qFormat/>
    <w:rPr/>
  </w:style>
  <w:style w:type="character" w:styleId="ListLabel31" w:customStyle="1">
    <w:name w:val="ListLabel 31"/>
    <w:qFormat/>
    <w:rPr>
      <w:sz w:val="28"/>
    </w:rPr>
  </w:style>
  <w:style w:type="character" w:styleId="ListLabel32" w:customStyle="1">
    <w:name w:val="ListLabel 32"/>
    <w:qFormat/>
    <w:rPr/>
  </w:style>
  <w:style w:type="character" w:styleId="ListLabel33" w:customStyle="1">
    <w:name w:val="ListLabel 33"/>
    <w:qFormat/>
    <w:rPr>
      <w:sz w:val="28"/>
    </w:rPr>
  </w:style>
  <w:style w:type="character" w:styleId="ListLabel34" w:customStyle="1">
    <w:name w:val="ListLabel 34"/>
    <w:qFormat/>
    <w:rPr/>
  </w:style>
  <w:style w:type="character" w:styleId="ListLabel35" w:customStyle="1">
    <w:name w:val="ListLabel 35"/>
    <w:qFormat/>
    <w:rPr>
      <w:sz w:val="28"/>
    </w:rPr>
  </w:style>
  <w:style w:type="character" w:styleId="ListLabel36" w:customStyle="1">
    <w:name w:val="ListLabel 36"/>
    <w:qFormat/>
    <w:rPr/>
  </w:style>
  <w:style w:type="character" w:styleId="ListLabel37" w:customStyle="1">
    <w:name w:val="ListLabel 37"/>
    <w:qFormat/>
    <w:rPr>
      <w:rFonts w:ascii="PT Astra Serif" w:hAnsi="PT Astra Serif"/>
      <w:sz w:val="28"/>
    </w:rPr>
  </w:style>
  <w:style w:type="character" w:styleId="ListLabel38" w:customStyle="1">
    <w:name w:val="ListLabel 38"/>
    <w:qFormat/>
    <w:rPr/>
  </w:style>
  <w:style w:type="character" w:styleId="ListLabel39" w:customStyle="1">
    <w:name w:val="ListLabel 39"/>
    <w:qFormat/>
    <w:rPr>
      <w:sz w:val="28"/>
    </w:rPr>
  </w:style>
  <w:style w:type="character" w:styleId="ListLabel40" w:customStyle="1">
    <w:name w:val="ListLabel 40"/>
    <w:qFormat/>
    <w:rPr/>
  </w:style>
  <w:style w:type="character" w:styleId="ListLabel41">
    <w:name w:val="ListLabel 41"/>
    <w:qFormat/>
    <w:rPr>
      <w:sz w:val="28"/>
    </w:rPr>
  </w:style>
  <w:style w:type="character" w:styleId="ListLabel42">
    <w:name w:val="ListLabel 42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rsid w:val="00e143be"/>
    <w:pPr>
      <w:spacing w:before="0" w:after="140"/>
    </w:pPr>
    <w:rPr/>
  </w:style>
  <w:style w:type="paragraph" w:styleId="Style23">
    <w:name w:val="List"/>
    <w:basedOn w:val="Style22"/>
    <w:rsid w:val="00e143be"/>
    <w:pPr/>
    <w:rPr>
      <w:rFonts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qFormat/>
    <w:rsid w:val="00e143be"/>
    <w:pPr>
      <w:pBdr>
        <w:bottom w:val="single" w:sz="24" w:space="0" w:color="000001"/>
      </w:pBdr>
      <w:spacing w:lineRule="auto" w:line="240" w:before="300" w:after="80"/>
    </w:pPr>
    <w:rPr>
      <w:b/>
      <w:color w:val="000000"/>
      <w:sz w:val="72"/>
    </w:rPr>
  </w:style>
  <w:style w:type="paragraph" w:styleId="Caption">
    <w:name w:val="caption"/>
    <w:basedOn w:val="Normal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e143be"/>
    <w:pPr/>
    <w:rPr>
      <w:rFonts w:cs="Noto Sans Devanagari"/>
    </w:rPr>
  </w:style>
  <w:style w:type="paragraph" w:styleId="12" w:customStyle="1">
    <w:name w:val="Заголовок1"/>
    <w:basedOn w:val="Normal"/>
    <w:next w:val="Style22"/>
    <w:qFormat/>
    <w:rsid w:val="00e143be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" w:customStyle="1">
    <w:name w:val="Название объекта1"/>
    <w:basedOn w:val="Normal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111" w:customStyle="1">
    <w:name w:val="Заголовок 11"/>
    <w:basedOn w:val="Normal"/>
    <w:qFormat/>
    <w:rsid w:val="00e143be"/>
    <w:pPr>
      <w:keepNext w:val="true"/>
      <w:keepLines/>
      <w:spacing w:before="480" w:after="0"/>
    </w:pPr>
    <w:rPr>
      <w:rFonts w:ascii="Arial" w:hAnsi="Arial" w:eastAsia="Arial" w:cs="Arial"/>
      <w:b/>
      <w:bCs/>
      <w:color w:val="000000"/>
      <w:sz w:val="48"/>
      <w:szCs w:val="48"/>
    </w:rPr>
  </w:style>
  <w:style w:type="paragraph" w:styleId="21" w:customStyle="1">
    <w:name w:val="Заголовок 2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color w:val="000000"/>
      <w:sz w:val="40"/>
    </w:rPr>
  </w:style>
  <w:style w:type="paragraph" w:styleId="31" w:customStyle="1">
    <w:name w:val="Заголовок 3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i/>
      <w:iCs/>
      <w:color w:val="000000"/>
      <w:sz w:val="36"/>
      <w:szCs w:val="36"/>
    </w:rPr>
  </w:style>
  <w:style w:type="paragraph" w:styleId="41" w:customStyle="1">
    <w:name w:val="Заголовок 4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51" w:customStyle="1">
    <w:name w:val="Заголовок 5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1" w:customStyle="1">
    <w:name w:val="Заголовок 6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1" w:customStyle="1">
    <w:name w:val="Заголовок 7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1" w:customStyle="1">
    <w:name w:val="Заголовок 8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91" w:customStyle="1">
    <w:name w:val="Заголовок 9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paragraph" w:styleId="NoSpacing">
    <w:name w:val="No Spacing"/>
    <w:basedOn w:val="Normal"/>
    <w:qFormat/>
    <w:rsid w:val="00e143be"/>
    <w:pPr>
      <w:spacing w:lineRule="auto" w:line="240" w:before="0" w:after="0"/>
    </w:pPr>
    <w:rPr>
      <w:color w:val="000000"/>
    </w:rPr>
  </w:style>
  <w:style w:type="paragraph" w:styleId="Style27">
    <w:name w:val="Subtitle"/>
    <w:basedOn w:val="Normal"/>
    <w:qFormat/>
    <w:rsid w:val="00e143be"/>
    <w:pPr>
      <w:spacing w:lineRule="auto" w:line="240"/>
    </w:pPr>
    <w:rPr>
      <w:i/>
      <w:color w:val="444444"/>
      <w:sz w:val="52"/>
    </w:rPr>
  </w:style>
  <w:style w:type="paragraph" w:styleId="Quote">
    <w:name w:val="Quote"/>
    <w:basedOn w:val="Normal"/>
    <w:qFormat/>
    <w:rsid w:val="00e143be"/>
    <w:pPr>
      <w:pBdr>
        <w:left w:val="single" w:sz="12" w:space="11" w:color="A6A6A6"/>
        <w:bottom w:val="single" w:sz="12" w:space="3" w:color="A6A6A6"/>
      </w:pBdr>
      <w:ind w:left="3402" w:hanging="0"/>
    </w:pPr>
    <w:rPr>
      <w:i/>
      <w:color w:val="373737"/>
      <w:sz w:val="18"/>
    </w:rPr>
  </w:style>
  <w:style w:type="paragraph" w:styleId="IntenseQuote">
    <w:name w:val="Intense Quote"/>
    <w:basedOn w:val="Normal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 w:hanging="0"/>
    </w:pPr>
    <w:rPr>
      <w:i/>
      <w:color w:val="606060"/>
      <w:sz w:val="19"/>
    </w:rPr>
  </w:style>
  <w:style w:type="paragraph" w:styleId="14" w:customStyle="1">
    <w:name w:val="Текст сноски1"/>
    <w:basedOn w:val="Normal"/>
    <w:link w:val="4"/>
    <w:qFormat/>
    <w:rsid w:val="00e143be"/>
    <w:pPr>
      <w:spacing w:lineRule="auto" w:line="240" w:before="0" w:after="0"/>
    </w:pPr>
    <w:rPr>
      <w:sz w:val="20"/>
    </w:rPr>
  </w:style>
  <w:style w:type="paragraph" w:styleId="FORMATTEXT" w:customStyle="1">
    <w:name w:val=".FORMATTEXT"/>
    <w:qFormat/>
    <w:rsid w:val="00e143be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paragraph" w:styleId="HEADERTEXT" w:customStyle="1">
    <w:name w:val=".HEADERTEXT"/>
    <w:qFormat/>
    <w:rsid w:val="00e143be"/>
    <w:pPr>
      <w:widowControl w:val="false"/>
      <w:bidi w:val="0"/>
      <w:jc w:val="left"/>
    </w:pPr>
    <w:rPr>
      <w:rFonts w:ascii="Arial" w:hAnsi="Arial" w:eastAsia="Times New Roman" w:cs="Arial"/>
      <w:color w:val="2B4279"/>
      <w:kern w:val="0"/>
      <w:sz w:val="22"/>
      <w:szCs w:val="22"/>
      <w:lang w:eastAsia="ru-RU" w:val="ru-RU" w:bidi="ar-SA"/>
    </w:rPr>
  </w:style>
  <w:style w:type="paragraph" w:styleId="Formattext1" w:customStyle="1">
    <w:name w:val="formattext"/>
    <w:basedOn w:val="Normal"/>
    <w:qFormat/>
    <w:rsid w:val="00e143be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15" w:customStyle="1">
    <w:name w:val="Верхний колонтитул1"/>
    <w:basedOn w:val="Normal"/>
    <w:link w:val="20"/>
    <w:qFormat/>
    <w:rsid w:val="00e143b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6" w:customStyle="1">
    <w:name w:val="Нижний колонтитул1"/>
    <w:basedOn w:val="Normal"/>
    <w:qFormat/>
    <w:rsid w:val="00e143b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e143be"/>
    <w:pPr>
      <w:spacing w:before="0" w:after="200"/>
      <w:ind w:left="720" w:hanging="0"/>
      <w:contextualSpacing/>
    </w:pPr>
    <w:rPr/>
  </w:style>
  <w:style w:type="paragraph" w:styleId="ConsPlusNormal1" w:customStyle="1">
    <w:name w:val="ConsPlusNormal"/>
    <w:qFormat/>
    <w:rsid w:val="00e143be"/>
    <w:pPr>
      <w:widowControl/>
      <w:bidi w:val="0"/>
      <w:jc w:val="left"/>
    </w:pPr>
    <w:rPr>
      <w:rFonts w:ascii="Times New Roman" w:hAnsi="Times New Roman" w:cs="Times New Roman" w:eastAsia="Calibri"/>
      <w:color w:val="00000A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qFormat/>
    <w:rsid w:val="00e143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Содержимое таблицы"/>
    <w:basedOn w:val="Normal"/>
    <w:qFormat/>
    <w:rsid w:val="00e143be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e143be"/>
    <w:pPr>
      <w:jc w:val="center"/>
    </w:pPr>
    <w:rPr>
      <w:b/>
      <w:bCs/>
    </w:rPr>
  </w:style>
  <w:style w:type="paragraph" w:styleId="Style30" w:customStyle="1">
    <w:name w:val="Верхний и нижний колонтитулы"/>
    <w:basedOn w:val="Normal"/>
    <w:qFormat/>
    <w:rsid w:val="00e143be"/>
    <w:pPr/>
    <w:rPr/>
  </w:style>
  <w:style w:type="paragraph" w:styleId="2" w:customStyle="1">
    <w:name w:val="Верхний колонтитул2"/>
    <w:basedOn w:val="Normal"/>
    <w:qFormat/>
    <w:rsid w:val="00e143be"/>
    <w:pPr/>
    <w:rPr/>
  </w:style>
  <w:style w:type="paragraph" w:styleId="3" w:customStyle="1">
    <w:name w:val="Верхний колонтитул3"/>
    <w:basedOn w:val="Normal"/>
    <w:qFormat/>
    <w:rsid w:val="00e143be"/>
    <w:pPr/>
    <w:rPr/>
  </w:style>
  <w:style w:type="paragraph" w:styleId="4" w:customStyle="1">
    <w:name w:val="Верхний колонтитул4"/>
    <w:basedOn w:val="Normal"/>
    <w:link w:val="13"/>
    <w:uiPriority w:val="99"/>
    <w:unhideWhenUsed/>
    <w:qFormat/>
    <w:rsid w:val="0080005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2" w:customStyle="1">
    <w:name w:val="Нижний колонтитул2"/>
    <w:basedOn w:val="Normal"/>
    <w:link w:val="14"/>
    <w:uiPriority w:val="99"/>
    <w:semiHidden/>
    <w:unhideWhenUsed/>
    <w:qFormat/>
    <w:rsid w:val="0080005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397476&amp;dst=100010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Application>LibreOffice/6.1.3.2$Linux_X86_64 LibreOffice_project/10$Build-2</Application>
  <Pages>12</Pages>
  <Words>2773</Words>
  <Characters>19398</Characters>
  <CharactersWithSpaces>22501</CharactersWithSpaces>
  <Paragraphs>314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2024-03-26T15:01:00Z</dcterms:created>
  <dc:creator>АлееваЛилия</dc:creator>
  <dc:description/>
  <dc:language>ru-RU</dc:language>
  <cp:lastModifiedBy/>
  <cp:lastPrinted>2024-04-03T10:14:00Z</cp:lastPrinted>
  <dcterms:modified xsi:type="dcterms:W3CDTF">2024-04-22T10:46:14Z</dcterms:modified>
  <cp:revision>52</cp:revision>
  <dc:subject/>
  <dc:title>Постановление Правительства Ульяновской области от 28.10.2021 N 560-П(ред. от 12.09.2023)"Об утверждении Положения о региональном государственном геологическом контроле (надзоре)"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