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Start w:id="1" w:name="_GoBack"/>
      <w:bookmarkEnd w:id="0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A46726" w:rsidRDefault="00FB715F" w:rsidP="00FE579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</w:t>
      </w:r>
    </w:p>
    <w:p w:rsidR="00A46726" w:rsidRPr="00A46726" w:rsidRDefault="00A46726" w:rsidP="00FE579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</w:t>
      </w:r>
      <w:r w:rsidRPr="00A46726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</w:p>
    <w:p w:rsidR="00FE5795" w:rsidRDefault="00FE5795" w:rsidP="00FE5795">
      <w:pPr>
        <w:pStyle w:val="ConsPlusNonformat"/>
        <w:tabs>
          <w:tab w:val="center" w:pos="4819"/>
          <w:tab w:val="left" w:pos="7760"/>
        </w:tabs>
        <w:jc w:val="center"/>
        <w:rPr>
          <w:rFonts w:ascii="PT Astra Serif" w:hAnsi="PT Astra Serif"/>
          <w:sz w:val="28"/>
          <w:szCs w:val="28"/>
        </w:rPr>
      </w:pPr>
      <w:r w:rsidRPr="00FE5795">
        <w:rPr>
          <w:rFonts w:ascii="PT Astra Serif" w:hAnsi="PT Astra Serif"/>
          <w:sz w:val="28"/>
          <w:szCs w:val="28"/>
        </w:rPr>
        <w:t xml:space="preserve">«О внесении изменений в постановление Правительства </w:t>
      </w:r>
    </w:p>
    <w:p w:rsidR="005D4BC1" w:rsidRDefault="00FE5795" w:rsidP="00FE5795">
      <w:pPr>
        <w:pStyle w:val="ConsPlusNonformat"/>
        <w:tabs>
          <w:tab w:val="center" w:pos="4819"/>
          <w:tab w:val="left" w:pos="7760"/>
        </w:tabs>
        <w:jc w:val="center"/>
        <w:rPr>
          <w:rFonts w:ascii="PT Astra Serif" w:hAnsi="PT Astra Serif"/>
          <w:sz w:val="28"/>
          <w:szCs w:val="28"/>
        </w:rPr>
      </w:pPr>
      <w:r w:rsidRPr="00FE5795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FE5795">
        <w:rPr>
          <w:rFonts w:ascii="PT Astra Serif" w:hAnsi="PT Astra Serif"/>
          <w:sz w:val="28"/>
          <w:szCs w:val="28"/>
        </w:rPr>
        <w:t>от 03.03.2023 № 96-П»</w:t>
      </w:r>
    </w:p>
    <w:p w:rsidR="00791614" w:rsidRDefault="00791614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791614" w:rsidRPr="00F52B7A" w:rsidRDefault="00791614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791614" w:rsidRPr="00F52B7A" w:rsidRDefault="0079161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C4CEB" w:rsidP="00FC4CEB">
      <w:pPr>
        <w:pStyle w:val="ConsPlusNonformat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B715F" w:rsidRPr="00F52B7A">
        <w:rPr>
          <w:rFonts w:ascii="PT Astra Serif" w:hAnsi="PT Astra Serif"/>
          <w:sz w:val="28"/>
          <w:szCs w:val="28"/>
        </w:rPr>
        <w:t>1.1. Государственный орган Ульяновской области (должностное лицо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E5795" w:rsidRDefault="00A4672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Министерство социального развития Ульяновской области, </w:t>
      </w:r>
      <w:r w:rsidR="00FE5795" w:rsidRPr="00FE5795">
        <w:rPr>
          <w:rFonts w:ascii="PT Astra Serif" w:hAnsi="PT Astra Serif"/>
          <w:sz w:val="28"/>
          <w:szCs w:val="28"/>
        </w:rPr>
        <w:t xml:space="preserve">консультант </w:t>
      </w:r>
      <w:proofErr w:type="gramStart"/>
      <w:r w:rsidR="00FE5795" w:rsidRPr="00FE5795">
        <w:rPr>
          <w:rFonts w:ascii="PT Astra Serif" w:hAnsi="PT Astra Serif"/>
          <w:sz w:val="28"/>
          <w:szCs w:val="28"/>
        </w:rPr>
        <w:t>отдела социального обслуживания населения департамента социального развития</w:t>
      </w:r>
      <w:proofErr w:type="gramEnd"/>
      <w:r w:rsidR="00FE5795" w:rsidRPr="00FE5795">
        <w:rPr>
          <w:rFonts w:ascii="PT Astra Serif" w:hAnsi="PT Astra Serif"/>
          <w:sz w:val="28"/>
          <w:szCs w:val="28"/>
        </w:rPr>
        <w:t xml:space="preserve"> и социального благополучия </w:t>
      </w:r>
      <w:proofErr w:type="spellStart"/>
      <w:r w:rsidR="00FE5795">
        <w:rPr>
          <w:rFonts w:ascii="PT Astra Serif" w:hAnsi="PT Astra Serif"/>
          <w:sz w:val="28"/>
          <w:szCs w:val="28"/>
        </w:rPr>
        <w:t>С.В.Прунов</w:t>
      </w:r>
      <w:proofErr w:type="spellEnd"/>
      <w:r w:rsidR="00FE5795">
        <w:rPr>
          <w:rFonts w:ascii="PT Astra Serif" w:hAnsi="PT Astra Serif"/>
          <w:sz w:val="28"/>
          <w:szCs w:val="28"/>
        </w:rPr>
        <w:t>.</w:t>
      </w:r>
    </w:p>
    <w:p w:rsidR="00A46726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1.2. 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>–</w:t>
      </w:r>
      <w:r w:rsidR="00A4672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акт):</w:t>
      </w:r>
    </w:p>
    <w:p w:rsidR="00FB715F" w:rsidRPr="00F52B7A" w:rsidRDefault="00A46726" w:rsidP="00FE579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</w:t>
      </w:r>
      <w:r w:rsidR="00FE5795" w:rsidRPr="00FE5795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Ульяновской области от 03.03.2023 № 96-П»</w:t>
      </w:r>
      <w:r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</w:p>
    <w:p w:rsidR="00FC4CEB" w:rsidRDefault="005D4BC1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01.</w:t>
      </w:r>
      <w:r w:rsidR="00FE5795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.2025</w:t>
      </w:r>
      <w:r w:rsidR="00A46726" w:rsidRPr="00A46726"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4F6D68" w:rsidRDefault="004F6D68" w:rsidP="004F6D6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4F6D68">
        <w:rPr>
          <w:rFonts w:ascii="PT Astra Serif" w:hAnsi="PT Astra Serif"/>
          <w:sz w:val="28"/>
          <w:szCs w:val="28"/>
        </w:rPr>
        <w:t>Регулирование процедуры конкурсного отбора на предоставление юридическим лицам, не являющимся государственными (муниципальными) учреждениями, индивидуальным предпринимателям, осуществляющим на территории Ульяновской области социальное обслуживание, субсидий из областного бюджета Ульяновской области в целях финансового обеспечения</w:t>
      </w:r>
      <w:proofErr w:type="gramEnd"/>
      <w:r w:rsidRPr="004F6D68">
        <w:rPr>
          <w:rFonts w:ascii="PT Astra Serif" w:hAnsi="PT Astra Serif"/>
          <w:sz w:val="28"/>
          <w:szCs w:val="28"/>
        </w:rPr>
        <w:t xml:space="preserve"> части их затрат, связанных с оказанием социальных услуг.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4F6D68" w:rsidRDefault="004F6D68" w:rsidP="004F6D6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F6D68">
        <w:rPr>
          <w:rFonts w:ascii="PT Astra Serif" w:hAnsi="PT Astra Serif"/>
          <w:sz w:val="28"/>
          <w:szCs w:val="28"/>
        </w:rPr>
        <w:t>В соответствии с проектом посредством получения субсидий финансовому обеспечению из областного бюджета Ульяновской области подлежат наиболее востребованные у населения социальные услуги, оказанные в полустационарной форме социального обслуживания.</w:t>
      </w:r>
    </w:p>
    <w:p w:rsidR="00FB715F" w:rsidRDefault="00FB715F" w:rsidP="004F6D6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4F6D68" w:rsidRDefault="004F6D68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4F6D68">
        <w:rPr>
          <w:rFonts w:ascii="PT Astra Serif" w:hAnsi="PT Astra Serif"/>
          <w:sz w:val="28"/>
          <w:szCs w:val="28"/>
        </w:rPr>
        <w:t>тбор поставщиков социальных услуг, оказывающих более качественные социальные услуги населению Ульяновской области.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9561DA" w:rsidRDefault="009561DA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9561DA">
        <w:rPr>
          <w:rFonts w:ascii="PT Astra Serif" w:hAnsi="PT Astra Serif"/>
          <w:sz w:val="28"/>
          <w:szCs w:val="28"/>
        </w:rPr>
        <w:t>предметом правового регулирования проектируемого постановления являются общественные отношения, связанные с предоставлением социальной поддержки граждан.</w:t>
      </w:r>
    </w:p>
    <w:p w:rsidR="00FB715F" w:rsidRDefault="00FB715F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6E1E2E" w:rsidRPr="00334D84" w:rsidRDefault="006E1E2E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E1E2E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</w:t>
      </w:r>
      <w:r w:rsidRPr="006E1E2E">
        <w:rPr>
          <w:rFonts w:ascii="PT Astra Serif" w:hAnsi="PT Astra Serif"/>
          <w:sz w:val="28"/>
          <w:szCs w:val="28"/>
        </w:rPr>
        <w:lastRenderedPageBreak/>
        <w:t xml:space="preserve">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6E1E2E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6E1E2E">
        <w:rPr>
          <w:rFonts w:ascii="PT Astra Serif" w:hAnsi="PT Astra Serif"/>
          <w:sz w:val="28"/>
          <w:szCs w:val="28"/>
        </w:rPr>
        <w:t>»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</w:t>
      </w:r>
      <w:r w:rsidR="004F6D68">
        <w:rPr>
          <w:rFonts w:ascii="PT Astra Serif" w:hAnsi="PT Astra Serif"/>
          <w:sz w:val="28"/>
          <w:szCs w:val="28"/>
        </w:rPr>
        <w:t>8</w:t>
      </w:r>
      <w:r w:rsidRPr="00334D84">
        <w:rPr>
          <w:rFonts w:ascii="PT Astra Serif" w:hAnsi="PT Astra Serif"/>
          <w:sz w:val="28"/>
          <w:szCs w:val="28"/>
        </w:rPr>
        <w:t>. Полный сетевой адрес страницы специализированного ресурса для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334D84">
        <w:rPr>
          <w:rFonts w:ascii="PT Astra Serif" w:hAnsi="PT Astra Serif"/>
          <w:sz w:val="28"/>
          <w:szCs w:val="28"/>
        </w:rPr>
        <w:t xml:space="preserve"> «</w:t>
      </w:r>
      <w:r w:rsidRPr="00334D84">
        <w:rPr>
          <w:rFonts w:ascii="PT Astra Serif" w:hAnsi="PT Astra Serif"/>
          <w:sz w:val="28"/>
          <w:szCs w:val="28"/>
        </w:rPr>
        <w:t>Интернет</w:t>
      </w:r>
      <w:r w:rsidR="00BA2FE2" w:rsidRPr="00334D84">
        <w:rPr>
          <w:rFonts w:ascii="PT Astra Serif" w:hAnsi="PT Astra Serif"/>
          <w:sz w:val="28"/>
          <w:szCs w:val="28"/>
        </w:rPr>
        <w:t>»</w:t>
      </w:r>
      <w:r w:rsidRPr="00334D84">
        <w:rPr>
          <w:rFonts w:ascii="PT Astra Serif" w:hAnsi="PT Astra Serif"/>
          <w:sz w:val="28"/>
          <w:szCs w:val="28"/>
        </w:rPr>
        <w:t xml:space="preserve">  (http://regulation.ulgov.ru), на которой была размещена сводка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предложений, поступивших в связи с размещением уведомления о разработке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4F6D68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1.9</w:t>
      </w:r>
      <w:r w:rsidR="00FB715F" w:rsidRPr="00F52B7A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7E498B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4F6D68">
        <w:rPr>
          <w:rFonts w:ascii="PT Astra Serif" w:hAnsi="PT Astra Serif"/>
          <w:sz w:val="28"/>
          <w:szCs w:val="28"/>
        </w:rPr>
        <w:t>Прунов</w:t>
      </w:r>
      <w:proofErr w:type="spellEnd"/>
      <w:r w:rsidR="004F6D68">
        <w:rPr>
          <w:rFonts w:ascii="PT Astra Serif" w:hAnsi="PT Astra Serif"/>
          <w:sz w:val="28"/>
          <w:szCs w:val="28"/>
        </w:rPr>
        <w:t xml:space="preserve"> Сергей Владимирович</w:t>
      </w:r>
    </w:p>
    <w:p w:rsidR="00FB715F" w:rsidRPr="00F52B7A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4F6D68" w:rsidRPr="004F6D68">
        <w:rPr>
          <w:rFonts w:ascii="PT Astra Serif" w:hAnsi="PT Astra Serif"/>
          <w:sz w:val="28"/>
          <w:szCs w:val="28"/>
        </w:rPr>
        <w:t xml:space="preserve">консультант </w:t>
      </w:r>
      <w:proofErr w:type="gramStart"/>
      <w:r w:rsidR="004F6D68" w:rsidRPr="004F6D68">
        <w:rPr>
          <w:rFonts w:ascii="PT Astra Serif" w:hAnsi="PT Astra Serif"/>
          <w:sz w:val="28"/>
          <w:szCs w:val="28"/>
        </w:rPr>
        <w:t>отдела социального обслуживания населения департамента социального развития</w:t>
      </w:r>
      <w:proofErr w:type="gramEnd"/>
      <w:r w:rsidR="004F6D68" w:rsidRPr="004F6D68">
        <w:rPr>
          <w:rFonts w:ascii="PT Astra Serif" w:hAnsi="PT Astra Serif"/>
          <w:sz w:val="28"/>
          <w:szCs w:val="28"/>
        </w:rPr>
        <w:t xml:space="preserve"> и социального благополучия</w:t>
      </w:r>
      <w:r w:rsidR="007E498B" w:rsidRPr="007E498B">
        <w:rPr>
          <w:rFonts w:ascii="PT Astra Serif" w:hAnsi="PT Astra Serif"/>
          <w:sz w:val="28"/>
          <w:szCs w:val="28"/>
        </w:rPr>
        <w:t xml:space="preserve"> Министерства социального развития Ульяновской области</w:t>
      </w:r>
    </w:p>
    <w:p w:rsidR="007E498B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7E498B" w:rsidRPr="007E498B">
        <w:rPr>
          <w:rFonts w:ascii="PT Astra Serif" w:hAnsi="PT Astra Serif"/>
          <w:sz w:val="28"/>
          <w:szCs w:val="28"/>
        </w:rPr>
        <w:t xml:space="preserve">44-96-84 (доб. </w:t>
      </w:r>
      <w:r w:rsidR="004F6D68">
        <w:rPr>
          <w:rFonts w:ascii="PT Astra Serif" w:hAnsi="PT Astra Serif"/>
          <w:sz w:val="28"/>
          <w:szCs w:val="28"/>
        </w:rPr>
        <w:t>9572</w:t>
      </w:r>
      <w:r w:rsidR="007E498B" w:rsidRPr="007E498B">
        <w:rPr>
          <w:rFonts w:ascii="PT Astra Serif" w:hAnsi="PT Astra Serif"/>
          <w:sz w:val="28"/>
          <w:szCs w:val="28"/>
        </w:rPr>
        <w:t>)</w:t>
      </w:r>
    </w:p>
    <w:p w:rsidR="007E498B" w:rsidRDefault="00FB715F" w:rsidP="004F6D6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Адрес электронной почты:</w:t>
      </w:r>
      <w:r w:rsidR="007E498B" w:rsidRPr="007E498B">
        <w:t xml:space="preserve"> </w:t>
      </w:r>
      <w:r w:rsidR="004F6D68" w:rsidRPr="004F6D68">
        <w:rPr>
          <w:rFonts w:ascii="PT Astra Serif" w:hAnsi="PT Astra Serif"/>
          <w:sz w:val="28"/>
          <w:szCs w:val="28"/>
        </w:rPr>
        <w:t>socio.mtsr.uo2011@yandex.ru</w:t>
      </w:r>
    </w:p>
    <w:p w:rsidR="00791614" w:rsidRPr="00F52B7A" w:rsidRDefault="0079161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915FF9" w:rsidRDefault="003F6AA6" w:rsidP="004F6D6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F6AA6">
        <w:rPr>
          <w:rFonts w:ascii="PT Astra Serif" w:hAnsi="PT Astra Serif"/>
          <w:sz w:val="28"/>
          <w:szCs w:val="28"/>
        </w:rPr>
        <w:t xml:space="preserve">В настоящее время существующий механизм предоставления субсидий негосударственным организациям социального обслуживания не используется, так как негосударственный сектор не имеет возможности оказывать весь перечень социальных услуг. Таким образом, предлагается оказывать только </w:t>
      </w:r>
      <w:proofErr w:type="gramStart"/>
      <w:r w:rsidR="004F3ECD">
        <w:rPr>
          <w:rFonts w:ascii="PT Astra Serif" w:hAnsi="PT Astra Serif"/>
          <w:sz w:val="28"/>
          <w:szCs w:val="28"/>
          <w:lang w:val="en-US"/>
        </w:rPr>
        <w:t>j</w:t>
      </w:r>
      <w:proofErr w:type="gramEnd"/>
      <w:r w:rsidR="004F3ECD">
        <w:rPr>
          <w:rFonts w:ascii="PT Astra Serif" w:hAnsi="PT Astra Serif"/>
          <w:sz w:val="28"/>
          <w:szCs w:val="28"/>
        </w:rPr>
        <w:t>отдельные виды</w:t>
      </w:r>
      <w:r w:rsidRPr="003F6AA6">
        <w:rPr>
          <w:rFonts w:ascii="PT Astra Serif" w:hAnsi="PT Astra Serif"/>
          <w:sz w:val="28"/>
          <w:szCs w:val="28"/>
        </w:rPr>
        <w:t xml:space="preserve"> социальны</w:t>
      </w:r>
      <w:r w:rsidR="004F3ECD">
        <w:rPr>
          <w:rFonts w:ascii="PT Astra Serif" w:hAnsi="PT Astra Serif"/>
          <w:sz w:val="28"/>
          <w:szCs w:val="28"/>
        </w:rPr>
        <w:t>х</w:t>
      </w:r>
      <w:r w:rsidRPr="003F6AA6">
        <w:rPr>
          <w:rFonts w:ascii="PT Astra Serif" w:hAnsi="PT Astra Serif"/>
          <w:sz w:val="28"/>
          <w:szCs w:val="28"/>
        </w:rPr>
        <w:t xml:space="preserve"> услуг, что повысит </w:t>
      </w:r>
      <w:proofErr w:type="spellStart"/>
      <w:r w:rsidRPr="003F6AA6">
        <w:rPr>
          <w:rFonts w:ascii="PT Astra Serif" w:hAnsi="PT Astra Serif"/>
          <w:sz w:val="28"/>
          <w:szCs w:val="28"/>
        </w:rPr>
        <w:t>конкурентноспособность</w:t>
      </w:r>
      <w:proofErr w:type="spellEnd"/>
      <w:r w:rsidRPr="003F6AA6">
        <w:rPr>
          <w:rFonts w:ascii="PT Astra Serif" w:hAnsi="PT Astra Serif"/>
          <w:sz w:val="28"/>
          <w:szCs w:val="28"/>
        </w:rPr>
        <w:t xml:space="preserve"> между организациями социального обслуживания.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F6D68" w:rsidRPr="004F6D68">
        <w:rPr>
          <w:rFonts w:ascii="PT Astra Serif" w:hAnsi="PT Astra Serif"/>
          <w:sz w:val="28"/>
          <w:szCs w:val="28"/>
        </w:rPr>
        <w:t xml:space="preserve">Предоставление юридическим лицам, не являющимся государственными (муниципальными) учреждениями, индивидуальным предпринимателям, осуществляющим </w:t>
      </w:r>
      <w:r w:rsidR="004F3ECD">
        <w:rPr>
          <w:rFonts w:ascii="PT Astra Serif" w:hAnsi="PT Astra Serif"/>
          <w:sz w:val="28"/>
          <w:szCs w:val="28"/>
        </w:rPr>
        <w:br/>
      </w:r>
      <w:r w:rsidR="004F6D68" w:rsidRPr="004F6D68">
        <w:rPr>
          <w:rFonts w:ascii="PT Astra Serif" w:hAnsi="PT Astra Serif"/>
          <w:sz w:val="28"/>
          <w:szCs w:val="28"/>
        </w:rPr>
        <w:t xml:space="preserve">на территории Ульяновской области социальное обслуживание, субсидий </w:t>
      </w:r>
      <w:r w:rsidR="004F3ECD">
        <w:rPr>
          <w:rFonts w:ascii="PT Astra Serif" w:hAnsi="PT Astra Serif"/>
          <w:sz w:val="28"/>
          <w:szCs w:val="28"/>
        </w:rPr>
        <w:br/>
      </w:r>
      <w:r w:rsidR="004F6D68" w:rsidRPr="004F6D68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финансового обеспечения части их затрат, связанных с оказанием отдельных видов социальных услуг. </w:t>
      </w:r>
      <w:proofErr w:type="gramEnd"/>
    </w:p>
    <w:p w:rsidR="00FB715F" w:rsidRPr="00334D84" w:rsidRDefault="00915FF9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B715F" w:rsidRPr="00334D84">
        <w:rPr>
          <w:rFonts w:ascii="PT Astra Serif" w:hAnsi="PT Astra Serif"/>
          <w:sz w:val="28"/>
          <w:szCs w:val="28"/>
        </w:rPr>
        <w:t>.</w:t>
      </w:r>
      <w:r w:rsidR="00CC1879">
        <w:rPr>
          <w:rFonts w:ascii="PT Astra Serif" w:hAnsi="PT Astra Serif"/>
          <w:sz w:val="28"/>
          <w:szCs w:val="28"/>
        </w:rPr>
        <w:t>2</w:t>
      </w:r>
      <w:r w:rsidR="00FB715F" w:rsidRPr="00334D84">
        <w:rPr>
          <w:rFonts w:ascii="PT Astra Serif" w:hAnsi="PT Astra Serif"/>
          <w:sz w:val="28"/>
          <w:szCs w:val="28"/>
        </w:rPr>
        <w:t>. Источники данных:</w:t>
      </w:r>
    </w:p>
    <w:p w:rsidR="00FB715F" w:rsidRPr="00334D8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Pr="00334D84" w:rsidRDefault="00CC1879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</w:t>
      </w:r>
      <w:r w:rsidR="00FB715F" w:rsidRPr="00334D84">
        <w:rPr>
          <w:rFonts w:ascii="PT Astra Serif" w:hAnsi="PT Astra Serif"/>
          <w:sz w:val="28"/>
          <w:szCs w:val="28"/>
        </w:rPr>
        <w:t>. Иная информация о проблеме: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1614" w:rsidRPr="00F52B7A" w:rsidRDefault="0079161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381313" w:rsidRDefault="00381313" w:rsidP="0066519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36B96" w:rsidRDefault="00CC1879" w:rsidP="001036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Постановление</w:t>
      </w:r>
      <w:r w:rsidR="00103680" w:rsidRPr="00103680">
        <w:t xml:space="preserve"> </w:t>
      </w:r>
      <w:r w:rsidR="00103680" w:rsidRPr="00103680">
        <w:rPr>
          <w:rFonts w:ascii="PT Astra Serif" w:hAnsi="PT Astra Serif"/>
          <w:sz w:val="28"/>
          <w:szCs w:val="28"/>
        </w:rPr>
        <w:t>Правительства Санкт-Петербурга от 31.01.2024 № 53</w:t>
      </w:r>
      <w:r w:rsidR="00103680">
        <w:rPr>
          <w:rFonts w:ascii="PT Astra Serif" w:hAnsi="PT Astra Serif"/>
          <w:sz w:val="28"/>
          <w:szCs w:val="28"/>
        </w:rPr>
        <w:t xml:space="preserve"> </w:t>
      </w:r>
      <w:r w:rsidR="00103680">
        <w:rPr>
          <w:rFonts w:ascii="PT Astra Serif" w:hAnsi="PT Astra Serif"/>
          <w:sz w:val="28"/>
          <w:szCs w:val="28"/>
        </w:rPr>
        <w:br/>
      </w:r>
      <w:r w:rsidR="00103680">
        <w:rPr>
          <w:rFonts w:ascii="PT Astra Serif" w:hAnsi="PT Astra Serif"/>
          <w:sz w:val="28"/>
          <w:szCs w:val="28"/>
        </w:rPr>
        <w:lastRenderedPageBreak/>
        <w:t>«</w:t>
      </w:r>
      <w:r w:rsidR="00103680" w:rsidRPr="00103680">
        <w:rPr>
          <w:rFonts w:ascii="PT Astra Serif" w:hAnsi="PT Astra Serif"/>
          <w:sz w:val="28"/>
          <w:szCs w:val="28"/>
        </w:rPr>
        <w:t xml:space="preserve">Об утверждении Порядка предоставления в 2024 году субсидий </w:t>
      </w:r>
      <w:r w:rsidR="00103680">
        <w:rPr>
          <w:rFonts w:ascii="PT Astra Serif" w:hAnsi="PT Astra Serif"/>
          <w:sz w:val="28"/>
          <w:szCs w:val="28"/>
        </w:rPr>
        <w:br/>
      </w:r>
      <w:r w:rsidR="00103680" w:rsidRPr="00103680">
        <w:rPr>
          <w:rFonts w:ascii="PT Astra Serif" w:hAnsi="PT Astra Serif"/>
          <w:sz w:val="28"/>
          <w:szCs w:val="28"/>
        </w:rPr>
        <w:t xml:space="preserve">на компенсацию расходов в форме возмещения затрат поставщикам социальных услуг, включенным в реестр поставщиков социальных услуг Санкт-Петербурга, но не участвующим в выполнении государственного задания (заказа), при получении у них гражданином социальных услуг, предусмотренных индивидуальной программой </w:t>
      </w:r>
      <w:r w:rsidR="00103680">
        <w:rPr>
          <w:rFonts w:ascii="PT Astra Serif" w:hAnsi="PT Astra Serif"/>
          <w:sz w:val="28"/>
          <w:szCs w:val="28"/>
        </w:rPr>
        <w:t>предоставления социальных услуг».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736B96" w:rsidRPr="00F52B7A" w:rsidRDefault="00736B96" w:rsidP="00736B9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3828"/>
      </w:tblGrid>
      <w:tr w:rsidR="00FB715F" w:rsidRPr="00F52B7A" w:rsidTr="00381313">
        <w:tc>
          <w:tcPr>
            <w:tcW w:w="360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12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2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B715F" w:rsidRPr="00F52B7A" w:rsidRDefault="00FB715F" w:rsidP="003813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381313">
              <w:t xml:space="preserve"> </w:t>
            </w:r>
            <w:r w:rsidR="00103680" w:rsidRPr="00103680">
              <w:rPr>
                <w:rFonts w:ascii="PT Astra Serif" w:hAnsi="PT Astra Serif"/>
                <w:sz w:val="24"/>
                <w:szCs w:val="24"/>
              </w:rPr>
              <w:t>Проект постановления Правительства Ульяновской области «О внесении изменений в Постановление Правительства Ульяновской области от 03.03.2023 № 96-П» разработан Министерством социального развития Ульяновской области и предусматривает внесение изменений в Правила предоставления юридическим лицам, не являющимся государственными (муниципальными) учреждениями, индивидуальным предпринимателям, осуществляющим на территории Ульяновской области социальное обслуживание, субсидий из областного бюджета Ульяновской области в целях финансового обеспечения части их затрат</w:t>
            </w:r>
            <w:proofErr w:type="gramEnd"/>
            <w:r w:rsidR="00103680" w:rsidRPr="00103680">
              <w:rPr>
                <w:rFonts w:ascii="PT Astra Serif" w:hAnsi="PT Astra Serif"/>
                <w:sz w:val="24"/>
                <w:szCs w:val="24"/>
              </w:rPr>
              <w:t xml:space="preserve">, связанных с оказанием социальных услуг. В соответствии с проектом посредством получения субсидий </w:t>
            </w:r>
            <w:r w:rsidR="00103680" w:rsidRPr="00103680">
              <w:rPr>
                <w:rFonts w:ascii="PT Astra Serif" w:hAnsi="PT Astra Serif"/>
                <w:sz w:val="24"/>
                <w:szCs w:val="24"/>
              </w:rPr>
              <w:lastRenderedPageBreak/>
              <w:t>финансовому обеспечению из областного бюджета Ульяновской области подлежат наиболее востребованные у населения социальные услуги, оказанные в полустационарной форме социального обслуживания.</w:t>
            </w:r>
          </w:p>
        </w:tc>
        <w:tc>
          <w:tcPr>
            <w:tcW w:w="2126" w:type="dxa"/>
            <w:vAlign w:val="center"/>
          </w:tcPr>
          <w:p w:rsidR="00FB715F" w:rsidRPr="00FD6711" w:rsidRDefault="00915FF9" w:rsidP="00FD671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с 01.01.202</w:t>
            </w:r>
            <w:r w:rsidR="00FD6711"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3828" w:type="dxa"/>
            <w:vAlign w:val="center"/>
          </w:tcPr>
          <w:p w:rsidR="00103680" w:rsidRDefault="00103680" w:rsidP="0010368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Оказание</w:t>
            </w:r>
            <w:r w:rsidRPr="00103680">
              <w:rPr>
                <w:rFonts w:ascii="PT Astra Serif" w:hAnsi="PT Astra Serif"/>
                <w:sz w:val="24"/>
                <w:szCs w:val="24"/>
              </w:rPr>
              <w:t xml:space="preserve"> поставщик</w:t>
            </w:r>
            <w:r>
              <w:rPr>
                <w:rFonts w:ascii="PT Astra Serif" w:hAnsi="PT Astra Serif"/>
                <w:sz w:val="24"/>
                <w:szCs w:val="24"/>
              </w:rPr>
              <w:t>ами</w:t>
            </w:r>
            <w:r w:rsidRPr="00103680">
              <w:rPr>
                <w:rFonts w:ascii="PT Astra Serif" w:hAnsi="PT Astra Serif"/>
                <w:sz w:val="24"/>
                <w:szCs w:val="24"/>
              </w:rPr>
              <w:t xml:space="preserve"> социальных услуг более качественны</w:t>
            </w:r>
            <w:r>
              <w:rPr>
                <w:rFonts w:ascii="PT Astra Serif" w:hAnsi="PT Astra Serif"/>
                <w:sz w:val="24"/>
                <w:szCs w:val="24"/>
              </w:rPr>
              <w:t>ми</w:t>
            </w:r>
            <w:r w:rsidRPr="00103680">
              <w:rPr>
                <w:rFonts w:ascii="PT Astra Serif" w:hAnsi="PT Astra Serif"/>
                <w:sz w:val="24"/>
                <w:szCs w:val="24"/>
              </w:rPr>
              <w:t xml:space="preserve"> социальны</w:t>
            </w:r>
            <w:r>
              <w:rPr>
                <w:rFonts w:ascii="PT Astra Serif" w:hAnsi="PT Astra Serif"/>
                <w:sz w:val="24"/>
                <w:szCs w:val="24"/>
              </w:rPr>
              <w:t>ми</w:t>
            </w:r>
            <w:r w:rsidRPr="00103680">
              <w:rPr>
                <w:rFonts w:ascii="PT Astra Serif" w:hAnsi="PT Astra Serif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/>
                <w:sz w:val="24"/>
                <w:szCs w:val="24"/>
              </w:rPr>
              <w:t>ами</w:t>
            </w:r>
            <w:r w:rsidRPr="00103680">
              <w:rPr>
                <w:rFonts w:ascii="PT Astra Serif" w:hAnsi="PT Astra Serif"/>
                <w:sz w:val="24"/>
                <w:szCs w:val="24"/>
              </w:rPr>
              <w:t xml:space="preserve"> населению Ульяновской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FB715F" w:rsidRPr="00F52B7A" w:rsidRDefault="00103680" w:rsidP="0010368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103680">
              <w:rPr>
                <w:rFonts w:ascii="PT Astra Serif" w:hAnsi="PT Astra Serif"/>
                <w:sz w:val="24"/>
                <w:szCs w:val="24"/>
              </w:rPr>
              <w:t xml:space="preserve">овышение </w:t>
            </w:r>
            <w:proofErr w:type="spellStart"/>
            <w:r w:rsidRPr="00103680">
              <w:rPr>
                <w:rFonts w:ascii="PT Astra Serif" w:hAnsi="PT Astra Serif"/>
                <w:sz w:val="24"/>
                <w:szCs w:val="24"/>
              </w:rPr>
              <w:t>конкурентноспособности</w:t>
            </w:r>
            <w:proofErr w:type="spellEnd"/>
            <w:r w:rsidRPr="00103680">
              <w:rPr>
                <w:rFonts w:ascii="PT Astra Serif" w:hAnsi="PT Astra Serif"/>
                <w:sz w:val="24"/>
                <w:szCs w:val="24"/>
              </w:rPr>
              <w:t xml:space="preserve"> между организациями социального обслуживания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(Цель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81313" w:rsidRPr="00F52B7A" w:rsidRDefault="00381313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103680" w:rsidRPr="00103680" w:rsidRDefault="00103680" w:rsidP="001036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03680">
        <w:rPr>
          <w:rFonts w:ascii="PT Astra Serif" w:hAnsi="PT Astra Serif"/>
          <w:sz w:val="28"/>
          <w:szCs w:val="28"/>
        </w:rPr>
        <w:t xml:space="preserve">Регулирование процедуры конкурсного отбора на предоставление юридическим лицам, не являющимся государственными (муниципальными) учреждениями, индивидуальным предпринимателям, осуществляющим на территории Ульяновской области социальное обслуживание, субсидий из областного бюджета Ульяновской области в целях финансового обеспечения части их затрат, связанных с оказанием социальных услуг. </w:t>
      </w:r>
      <w:proofErr w:type="gramEnd"/>
    </w:p>
    <w:p w:rsidR="00103680" w:rsidRDefault="00103680" w:rsidP="001036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03680">
        <w:rPr>
          <w:rFonts w:ascii="PT Astra Serif" w:hAnsi="PT Astra Serif"/>
          <w:sz w:val="28"/>
          <w:szCs w:val="28"/>
        </w:rPr>
        <w:t>В соответствии с проектом посредством получения субсидий финансовому обеспечению из областного бюджета Ульяновской области подлежат наиболее востребованные у населения социальные услуги, оказанные в полустационарной форме социального обслуживания.</w:t>
      </w:r>
    </w:p>
    <w:p w:rsidR="00FB715F" w:rsidRPr="00F52B7A" w:rsidRDefault="00FB715F" w:rsidP="001036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5.2. </w:t>
      </w:r>
      <w:proofErr w:type="gramStart"/>
      <w:r w:rsidRPr="00F52B7A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</w:t>
      </w:r>
      <w:r w:rsidR="005C6A1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381313" w:rsidRDefault="0038131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отсутствуют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103680" w:rsidRPr="00103680" w:rsidRDefault="00103680" w:rsidP="001036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03680">
        <w:rPr>
          <w:rFonts w:ascii="PT Astra Serif" w:hAnsi="PT Astra Serif"/>
          <w:sz w:val="28"/>
          <w:szCs w:val="28"/>
        </w:rPr>
        <w:t>Оказание поставщиками социальных услуг более качественными социальными услугами населению Ульяновской области.</w:t>
      </w:r>
    </w:p>
    <w:p w:rsidR="00501D24" w:rsidRDefault="00103680" w:rsidP="001036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03680">
        <w:rPr>
          <w:rFonts w:ascii="PT Astra Serif" w:hAnsi="PT Astra Serif"/>
          <w:sz w:val="28"/>
          <w:szCs w:val="28"/>
        </w:rPr>
        <w:t xml:space="preserve">Повышение </w:t>
      </w:r>
      <w:proofErr w:type="spellStart"/>
      <w:r w:rsidRPr="00103680">
        <w:rPr>
          <w:rFonts w:ascii="PT Astra Serif" w:hAnsi="PT Astra Serif"/>
          <w:sz w:val="28"/>
          <w:szCs w:val="28"/>
        </w:rPr>
        <w:t>конкурентноспособности</w:t>
      </w:r>
      <w:proofErr w:type="spellEnd"/>
      <w:r w:rsidRPr="00103680">
        <w:rPr>
          <w:rFonts w:ascii="PT Astra Serif" w:hAnsi="PT Astra Serif"/>
          <w:sz w:val="28"/>
          <w:szCs w:val="28"/>
        </w:rPr>
        <w:t xml:space="preserve"> между организациями социального обслуживания.</w:t>
      </w:r>
    </w:p>
    <w:p w:rsidR="00791614" w:rsidRDefault="0079161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Default="00103680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B715F" w:rsidRPr="00245CCC">
        <w:rPr>
          <w:rFonts w:ascii="PT Astra Serif" w:hAnsi="PT Astra Serif"/>
          <w:sz w:val="28"/>
          <w:szCs w:val="28"/>
        </w:rPr>
        <w:t>.4. Иная</w:t>
      </w:r>
      <w:r w:rsidR="00FB715F" w:rsidRPr="00F52B7A">
        <w:rPr>
          <w:rFonts w:ascii="PT Astra Serif" w:hAnsi="PT Astra Serif"/>
          <w:sz w:val="28"/>
          <w:szCs w:val="28"/>
        </w:rPr>
        <w:t xml:space="preserve"> информация о предлагаемом способе решения проблемы:</w:t>
      </w:r>
    </w:p>
    <w:p w:rsidR="00103680" w:rsidRDefault="00103680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103680" w:rsidRDefault="0010368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lastRenderedPageBreak/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BE76E6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6.2. Количество лиц, относящихс</w:t>
            </w:r>
            <w:r w:rsidR="00FB715F" w:rsidRPr="00F52B7A">
              <w:rPr>
                <w:rFonts w:ascii="PT Astra Serif" w:hAnsi="PT Astra Serif"/>
                <w:sz w:val="24"/>
                <w:szCs w:val="24"/>
              </w:rPr>
              <w:t>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B3E83">
        <w:trPr>
          <w:trHeight w:val="1350"/>
        </w:trPr>
        <w:tc>
          <w:tcPr>
            <w:tcW w:w="3464" w:type="dxa"/>
            <w:vAlign w:val="center"/>
          </w:tcPr>
          <w:p w:rsidR="00E628AE" w:rsidRPr="005C6A15" w:rsidRDefault="00FB715F" w:rsidP="00BA2FE2">
            <w:pPr>
              <w:pStyle w:val="ConsPlusNormal"/>
              <w:jc w:val="both"/>
            </w:pPr>
            <w:r w:rsidRPr="005C6A15">
              <w:rPr>
                <w:rFonts w:ascii="PT Astra Serif" w:hAnsi="PT Astra Serif"/>
                <w:sz w:val="24"/>
                <w:szCs w:val="24"/>
              </w:rPr>
              <w:t>(Группа 1)</w:t>
            </w:r>
            <w:r w:rsidR="00E628AE" w:rsidRPr="005C6A15">
              <w:t xml:space="preserve"> </w:t>
            </w:r>
          </w:p>
          <w:p w:rsidR="00BB3E83" w:rsidRPr="005C6A15" w:rsidRDefault="00BE76E6" w:rsidP="00BE76E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E76E6">
              <w:rPr>
                <w:rFonts w:ascii="PT Astra Serif" w:hAnsi="PT Astra Serif"/>
                <w:sz w:val="24"/>
                <w:szCs w:val="24"/>
              </w:rPr>
              <w:t>юридически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BE76E6">
              <w:rPr>
                <w:rFonts w:ascii="PT Astra Serif" w:hAnsi="PT Astra Serif"/>
                <w:sz w:val="24"/>
                <w:szCs w:val="24"/>
              </w:rPr>
              <w:t xml:space="preserve"> лица, не являющимся государственными (муниципальными) учреждениями </w:t>
            </w:r>
            <w:proofErr w:type="gramEnd"/>
          </w:p>
        </w:tc>
        <w:tc>
          <w:tcPr>
            <w:tcW w:w="2410" w:type="dxa"/>
            <w:vAlign w:val="center"/>
          </w:tcPr>
          <w:p w:rsidR="00FB715F" w:rsidRPr="005C6A15" w:rsidRDefault="00BE76E6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3686" w:type="dxa"/>
            <w:vAlign w:val="center"/>
          </w:tcPr>
          <w:p w:rsidR="00FB715F" w:rsidRPr="005C6A15" w:rsidRDefault="00BE76E6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</w:tr>
      <w:tr w:rsidR="00BB3E83" w:rsidRPr="00F52B7A" w:rsidTr="00BA2FE2">
        <w:trPr>
          <w:trHeight w:val="870"/>
        </w:trPr>
        <w:tc>
          <w:tcPr>
            <w:tcW w:w="3464" w:type="dxa"/>
            <w:vAlign w:val="center"/>
          </w:tcPr>
          <w:p w:rsidR="00BB3E83" w:rsidRPr="005C6A15" w:rsidRDefault="00BE76E6" w:rsidP="00BB3E8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E76E6">
              <w:rPr>
                <w:rFonts w:ascii="PT Astra Serif" w:hAnsi="PT Astra Serif"/>
                <w:sz w:val="24"/>
                <w:szCs w:val="24"/>
              </w:rPr>
              <w:t xml:space="preserve">индивидуальные </w:t>
            </w:r>
            <w:proofErr w:type="gramStart"/>
            <w:r w:rsidRPr="00BE76E6">
              <w:rPr>
                <w:rFonts w:ascii="PT Astra Serif" w:hAnsi="PT Astra Serif"/>
                <w:sz w:val="24"/>
                <w:szCs w:val="24"/>
              </w:rPr>
              <w:t>предприниматели</w:t>
            </w:r>
            <w:proofErr w:type="gramEnd"/>
            <w:r w:rsidRPr="00BE76E6">
              <w:rPr>
                <w:rFonts w:ascii="PT Astra Serif" w:hAnsi="PT Astra Serif"/>
                <w:sz w:val="24"/>
                <w:szCs w:val="24"/>
              </w:rPr>
              <w:t xml:space="preserve"> осуществляющие свою деятельность в сфере социального обслуживания.</w:t>
            </w:r>
          </w:p>
        </w:tc>
        <w:tc>
          <w:tcPr>
            <w:tcW w:w="2410" w:type="dxa"/>
            <w:vAlign w:val="center"/>
          </w:tcPr>
          <w:p w:rsidR="00BB3E83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B3E83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6.</w:t>
      </w:r>
      <w:r w:rsidR="00BE76E6">
        <w:rPr>
          <w:rFonts w:ascii="PT Astra Serif" w:hAnsi="PT Astra Serif"/>
          <w:sz w:val="28"/>
          <w:szCs w:val="28"/>
        </w:rPr>
        <w:t>4</w:t>
      </w:r>
      <w:r w:rsidRPr="00F52B7A">
        <w:rPr>
          <w:rFonts w:ascii="PT Astra Serif" w:hAnsi="PT Astra Serif"/>
          <w:sz w:val="28"/>
          <w:szCs w:val="28"/>
        </w:rPr>
        <w:t>. Источники данных: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B3E83" w:rsidRDefault="00BE76E6" w:rsidP="00C43BF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Реестр поставщиков социальных услуг Ульяновской области</w:t>
      </w:r>
      <w:r w:rsidR="00C43BF5" w:rsidRPr="00C43BF5">
        <w:t xml:space="preserve"> </w:t>
      </w:r>
      <w:r w:rsidR="00C43BF5" w:rsidRPr="00C43BF5">
        <w:rPr>
          <w:rFonts w:ascii="PT Astra Serif" w:hAnsi="PT Astra Serif"/>
          <w:sz w:val="28"/>
          <w:szCs w:val="28"/>
        </w:rPr>
        <w:t xml:space="preserve">утверждённый </w:t>
      </w:r>
      <w:r w:rsidR="00C43BF5" w:rsidRPr="00C43BF5">
        <w:t xml:space="preserve"> </w:t>
      </w:r>
      <w:r w:rsidR="00C43BF5" w:rsidRPr="00C43BF5">
        <w:rPr>
          <w:rFonts w:ascii="PT Astra Serif" w:hAnsi="PT Astra Serif"/>
          <w:sz w:val="28"/>
          <w:szCs w:val="28"/>
        </w:rPr>
        <w:t>приказ</w:t>
      </w:r>
      <w:r w:rsidR="00C43BF5">
        <w:rPr>
          <w:rFonts w:ascii="PT Astra Serif" w:hAnsi="PT Astra Serif"/>
          <w:sz w:val="28"/>
          <w:szCs w:val="28"/>
        </w:rPr>
        <w:t>ом</w:t>
      </w:r>
      <w:r w:rsidR="00C43BF5" w:rsidRPr="00C43BF5">
        <w:rPr>
          <w:rFonts w:ascii="PT Astra Serif" w:hAnsi="PT Astra Serif"/>
          <w:sz w:val="28"/>
          <w:szCs w:val="28"/>
        </w:rPr>
        <w:t xml:space="preserve"> Министерства социального развития Ульяновской области </w:t>
      </w:r>
      <w:r w:rsidR="00C43BF5">
        <w:rPr>
          <w:rFonts w:ascii="PT Astra Serif" w:hAnsi="PT Astra Serif"/>
          <w:sz w:val="28"/>
          <w:szCs w:val="28"/>
        </w:rPr>
        <w:br/>
      </w:r>
      <w:r w:rsidR="00C43BF5" w:rsidRPr="00C43BF5">
        <w:rPr>
          <w:rFonts w:ascii="PT Astra Serif" w:hAnsi="PT Astra Serif"/>
          <w:sz w:val="28"/>
          <w:szCs w:val="28"/>
        </w:rPr>
        <w:t xml:space="preserve">от 03.03.2025 № 16-п </w:t>
      </w:r>
      <w:r w:rsidR="00C43BF5">
        <w:rPr>
          <w:rFonts w:ascii="PT Astra Serif" w:hAnsi="PT Astra Serif"/>
          <w:sz w:val="28"/>
          <w:szCs w:val="28"/>
        </w:rPr>
        <w:t>«</w:t>
      </w:r>
      <w:r w:rsidR="00C43BF5" w:rsidRPr="00C43BF5">
        <w:rPr>
          <w:rFonts w:ascii="PT Astra Serif" w:hAnsi="PT Astra Serif"/>
          <w:sz w:val="28"/>
          <w:szCs w:val="28"/>
        </w:rPr>
        <w:t>О порядке формирования и ведения реестра поставщиков социальных услуг в Ульяновской области</w:t>
      </w:r>
      <w:r w:rsidR="00C43BF5">
        <w:rPr>
          <w:rFonts w:ascii="PT Astra Serif" w:hAnsi="PT Astra Serif"/>
          <w:sz w:val="28"/>
          <w:szCs w:val="28"/>
        </w:rPr>
        <w:t>»</w:t>
      </w:r>
    </w:p>
    <w:p w:rsidR="00E7214A" w:rsidRPr="00F52B7A" w:rsidRDefault="00E7214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92"/>
        <w:gridCol w:w="1439"/>
        <w:gridCol w:w="2955"/>
        <w:gridCol w:w="1560"/>
      </w:tblGrid>
      <w:tr w:rsidR="00FB715F" w:rsidRPr="00F52B7A" w:rsidTr="000A6180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792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439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государственного органа 1: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 Министерство социального развития Ульяновской области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792" w:type="dxa"/>
            <w:vAlign w:val="center"/>
          </w:tcPr>
          <w:p w:rsidR="00FB715F" w:rsidRPr="00F52B7A" w:rsidRDefault="00BE76E6" w:rsidP="000A618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Конкурсный </w:t>
            </w:r>
            <w:r w:rsidRPr="00BE76E6">
              <w:rPr>
                <w:rFonts w:ascii="PT Astra Serif" w:hAnsi="PT Astra Serif"/>
                <w:sz w:val="24"/>
                <w:szCs w:val="24"/>
              </w:rPr>
              <w:t xml:space="preserve">отбор поставщиков социальных услуг, оказывающих более качественные социальные услуги населению Ульяновской области </w:t>
            </w:r>
            <w:r w:rsidR="000A6180">
              <w:rPr>
                <w:rFonts w:ascii="PT Astra Serif" w:hAnsi="PT Astra Serif"/>
                <w:sz w:val="24"/>
                <w:szCs w:val="24"/>
              </w:rPr>
              <w:t>месячного социального билета в электронной форме</w:t>
            </w:r>
          </w:p>
        </w:tc>
        <w:tc>
          <w:tcPr>
            <w:tcW w:w="1439" w:type="dxa"/>
            <w:vAlign w:val="center"/>
          </w:tcPr>
          <w:p w:rsidR="004F3ECD" w:rsidRPr="00F52B7A" w:rsidRDefault="004F3EC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2955" w:type="dxa"/>
            <w:vAlign w:val="center"/>
          </w:tcPr>
          <w:p w:rsidR="00FB715F" w:rsidRPr="00F52B7A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изменятся</w:t>
            </w:r>
          </w:p>
        </w:tc>
        <w:tc>
          <w:tcPr>
            <w:tcW w:w="1560" w:type="dxa"/>
            <w:vAlign w:val="center"/>
          </w:tcPr>
          <w:p w:rsidR="00FB715F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Default="00FB715F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Наименование государственного органа (органа местного самоуправления) </w:t>
            </w:r>
          </w:p>
          <w:p w:rsidR="005C6A15" w:rsidRPr="00F52B7A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социального развития Ульяновской области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5C6A1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) за период </w:t>
            </w:r>
            <w:r w:rsidR="005C6A15">
              <w:rPr>
                <w:rFonts w:ascii="PT Astra Serif" w:hAnsi="PT Astra Serif"/>
                <w:sz w:val="24"/>
                <w:szCs w:val="24"/>
              </w:rPr>
              <w:t>2024 год:</w:t>
            </w:r>
          </w:p>
          <w:p w:rsidR="005C6A15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Default="00FB715F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Pr="00F52B7A" w:rsidRDefault="00BE76E6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определено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период 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2024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r w:rsidR="005C6A15">
              <w:rPr>
                <w:rFonts w:ascii="PT Astra Serif" w:hAnsi="PT Astra Serif"/>
                <w:sz w:val="24"/>
                <w:szCs w:val="24"/>
              </w:rPr>
              <w:t>од</w:t>
            </w:r>
          </w:p>
        </w:tc>
        <w:tc>
          <w:tcPr>
            <w:tcW w:w="2459" w:type="dxa"/>
          </w:tcPr>
          <w:p w:rsidR="00FB715F" w:rsidRPr="00F52B7A" w:rsidRDefault="00FB715F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45CCC" w:rsidRPr="00245CCC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t>8.4. Иные сведения о дополнительных расходах (доходах) областного</w:t>
      </w:r>
      <w:r w:rsidR="00F52B7A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>бюджета Ульяновской области и бюджетов муниципальных образований</w:t>
      </w:r>
      <w:r w:rsidR="00D16EF4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245CCC" w:rsidRDefault="000A6180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AC1398">
        <w:rPr>
          <w:rFonts w:ascii="PT Astra Serif" w:hAnsi="PT Astra Serif"/>
          <w:sz w:val="28"/>
          <w:szCs w:val="28"/>
        </w:rPr>
        <w:t>ополнительные расходы не требуются</w:t>
      </w:r>
    </w:p>
    <w:p w:rsidR="00AC1398" w:rsidRDefault="00AC1398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:rsidR="00FB715F" w:rsidRPr="008270F5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D16EF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FB715F" w:rsidRPr="00F52B7A" w:rsidRDefault="00D16EF4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F52B7A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F3ECD" w:rsidRDefault="004F3ECD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9.5. Описание расходов (доходов), не поддающихся количественной оценке: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</w:t>
      </w:r>
      <w:r w:rsidR="00D16E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</w:p>
          <w:p w:rsidR="008270F5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3683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низкая вероятность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3149D" w:rsidRDefault="002314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16EF4" w:rsidRPr="00F52B7A" w:rsidRDefault="00085157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01.</w:t>
      </w:r>
      <w:r w:rsidR="000A6180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2</w:t>
      </w:r>
      <w:r w:rsidR="000A6180">
        <w:rPr>
          <w:rFonts w:ascii="PT Astra Serif" w:hAnsi="PT Astra Serif"/>
          <w:sz w:val="28"/>
          <w:szCs w:val="28"/>
        </w:rPr>
        <w:t>.2025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11.2. Необходимость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предлагаемого регулирования: нет.</w:t>
      </w:r>
    </w:p>
    <w:p w:rsidR="00FB715F" w:rsidRPr="00F52B7A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Срок переходного периода: _____ дней со дня официального опубликования</w:t>
      </w:r>
      <w:r w:rsidR="00D16EF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406038" w:rsidRDefault="00FB715F" w:rsidP="0040603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green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70F5" w:rsidRPr="00F52B7A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12.6.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BE76E6">
        <w:rPr>
          <w:rFonts w:ascii="PT Astra Serif" w:hAnsi="PT Astra Serif"/>
          <w:sz w:val="28"/>
          <w:szCs w:val="28"/>
        </w:rPr>
        <w:t>не определено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D16EF4" w:rsidRPr="00F52B7A" w:rsidRDefault="00BE76E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E76E6">
        <w:rPr>
          <w:rFonts w:ascii="PT Astra Serif" w:hAnsi="PT Astra Serif"/>
          <w:sz w:val="28"/>
          <w:szCs w:val="28"/>
        </w:rPr>
        <w:t xml:space="preserve">Получатель субсидии ежемесячно не позднее 10-го числа месяца, следующего за отчетным, представляет в Министерство отчет об осуществлении затрат, источником финансового обеспечения которых является субсидия, а также отчет о достижении значений результата предоставления </w:t>
      </w:r>
      <w:proofErr w:type="spellStart"/>
      <w:r w:rsidRPr="00BE76E6">
        <w:rPr>
          <w:rFonts w:ascii="PT Astra Serif" w:hAnsi="PT Astra Serif"/>
          <w:sz w:val="28"/>
          <w:szCs w:val="28"/>
        </w:rPr>
        <w:t>субсиди</w:t>
      </w:r>
      <w:proofErr w:type="spell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D16EF4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(Мероприятие 1)</w:t>
            </w:r>
          </w:p>
          <w:p w:rsidR="00D16EF4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D16EF4">
              <w:rPr>
                <w:rFonts w:ascii="PT Astra Serif" w:hAnsi="PT Astra Serif"/>
                <w:sz w:val="24"/>
                <w:szCs w:val="24"/>
              </w:rPr>
              <w:t>тсутствуют</w:t>
            </w:r>
          </w:p>
          <w:p w:rsidR="005D5568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D5568" w:rsidRPr="00F52B7A" w:rsidRDefault="005D5568" w:rsidP="00BE76E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5568">
              <w:rPr>
                <w:rFonts w:ascii="PT Astra Serif" w:hAnsi="PT Astra Serif"/>
                <w:sz w:val="24"/>
                <w:szCs w:val="24"/>
              </w:rPr>
              <w:t xml:space="preserve">Заключение соглашения </w:t>
            </w:r>
          </w:p>
        </w:tc>
        <w:tc>
          <w:tcPr>
            <w:tcW w:w="1497" w:type="dxa"/>
            <w:vAlign w:val="center"/>
          </w:tcPr>
          <w:p w:rsidR="00FB715F" w:rsidRPr="00F52B7A" w:rsidRDefault="00791614" w:rsidP="00BE76E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5D5568">
              <w:rPr>
                <w:rFonts w:ascii="PT Astra Serif" w:hAnsi="PT Astra Serif"/>
                <w:sz w:val="24"/>
                <w:szCs w:val="24"/>
              </w:rPr>
              <w:t>нварь 202</w:t>
            </w:r>
            <w:r w:rsidR="00BE76E6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1763" w:type="dxa"/>
            <w:vAlign w:val="center"/>
          </w:tcPr>
          <w:p w:rsidR="00FB715F" w:rsidRPr="00F52B7A" w:rsidRDefault="00BE76E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Выделение субсидии</w:t>
            </w:r>
          </w:p>
        </w:tc>
        <w:tc>
          <w:tcPr>
            <w:tcW w:w="1843" w:type="dxa"/>
            <w:vAlign w:val="center"/>
          </w:tcPr>
          <w:p w:rsidR="00FB715F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vAlign w:val="center"/>
          </w:tcPr>
          <w:p w:rsidR="00FB715F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13.6.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_________ тыс. руб.</w:t>
      </w: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14.1. Иные необходимые, по мнению разработчика акта,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1) вводят административные и иные ограничения и обязанности  </w:t>
      </w:r>
      <w:r w:rsidRPr="00F52B7A">
        <w:rPr>
          <w:rFonts w:ascii="PT Astra Serif" w:hAnsi="PT Astra Serif"/>
          <w:sz w:val="28"/>
          <w:szCs w:val="28"/>
        </w:rPr>
        <w:lastRenderedPageBreak/>
        <w:t>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2) способствуют возникновению расходов субъектов предпринимательской,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3A2F94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A2F94">
        <w:rPr>
          <w:rFonts w:ascii="PT Astra Serif" w:hAnsi="PT Astra Serif"/>
          <w:sz w:val="28"/>
          <w:szCs w:val="28"/>
        </w:rPr>
        <w:t>тсутствуют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3) способствуют возникновению расходов бюджетов, образующих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2F94"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14.3. Выводы о соответствии проекта акта принципам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8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15.1. Срок, в течение которого разработчиком акта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="00C43BF5">
        <w:rPr>
          <w:rFonts w:ascii="PT Astra Serif" w:hAnsi="PT Astra Serif"/>
          <w:sz w:val="28"/>
          <w:szCs w:val="28"/>
        </w:rPr>
        <w:t>__________________</w:t>
      </w:r>
      <w:r w:rsidRPr="00F52B7A">
        <w:rPr>
          <w:rFonts w:ascii="PT Astra Serif" w:hAnsi="PT Astra Serif"/>
          <w:sz w:val="28"/>
          <w:szCs w:val="28"/>
        </w:rPr>
        <w:t xml:space="preserve">; окончание: </w:t>
      </w:r>
      <w:r w:rsidR="00C43BF5">
        <w:rPr>
          <w:rFonts w:ascii="PT Astra Serif" w:hAnsi="PT Astra Serif"/>
          <w:sz w:val="28"/>
          <w:szCs w:val="28"/>
        </w:rPr>
        <w:t>_____________________</w:t>
      </w:r>
      <w:r w:rsidR="006F5FC6">
        <w:rPr>
          <w:rFonts w:ascii="PT Astra Serif" w:hAnsi="PT Astra Serif"/>
          <w:sz w:val="28"/>
          <w:szCs w:val="28"/>
        </w:rPr>
        <w:t>.</w:t>
      </w:r>
    </w:p>
    <w:p w:rsidR="006F5FC6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15.2.  Сведения о количестве замечаний и предложений, полученных </w:t>
      </w:r>
    </w:p>
    <w:p w:rsidR="00FB715F" w:rsidRPr="00F52B7A" w:rsidRDefault="00FB715F" w:rsidP="006F5F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6F5FC6">
        <w:rPr>
          <w:rFonts w:ascii="PT Astra Serif" w:hAnsi="PT Astra Serif"/>
          <w:sz w:val="28"/>
          <w:szCs w:val="28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полностью: ____________, частично: ____________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6F5FC6" w:rsidRPr="00F52B7A" w:rsidRDefault="006F5FC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F5FC6">
        <w:rPr>
          <w:rFonts w:ascii="PT Astra Serif" w:hAnsi="PT Astra Serif"/>
          <w:sz w:val="28"/>
          <w:szCs w:val="28"/>
        </w:rPr>
        <w:t>http://regulation.ulgov.ru/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91147" w:rsidRPr="00F52B7A" w:rsidRDefault="0019114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49F6" w:rsidRPr="007949F6" w:rsidRDefault="007949F6" w:rsidP="007949F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949F6"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FB715F" w:rsidRPr="00A77117" w:rsidRDefault="007949F6" w:rsidP="007949F6">
      <w:pPr>
        <w:pStyle w:val="ConsPlusNonformat"/>
        <w:jc w:val="both"/>
        <w:rPr>
          <w:rFonts w:ascii="PT Astra Serif" w:hAnsi="PT Astra Serif"/>
          <w:sz w:val="22"/>
        </w:rPr>
      </w:pPr>
      <w:r w:rsidRPr="007949F6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7949F6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proofErr w:type="spellStart"/>
      <w:r w:rsidRPr="007949F6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.В.Батраков</w:t>
      </w:r>
      <w:proofErr w:type="spell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381313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FA" w:rsidRDefault="001F56FA" w:rsidP="00381313">
      <w:r>
        <w:separator/>
      </w:r>
    </w:p>
  </w:endnote>
  <w:endnote w:type="continuationSeparator" w:id="0">
    <w:p w:rsidR="001F56FA" w:rsidRDefault="001F56FA" w:rsidP="003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FA" w:rsidRDefault="001F56FA" w:rsidP="00381313">
      <w:r>
        <w:separator/>
      </w:r>
    </w:p>
  </w:footnote>
  <w:footnote w:type="continuationSeparator" w:id="0">
    <w:p w:rsidR="001F56FA" w:rsidRDefault="001F56FA" w:rsidP="0038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522486"/>
      <w:docPartObj>
        <w:docPartGallery w:val="Page Numbers (Top of Page)"/>
        <w:docPartUnique/>
      </w:docPartObj>
    </w:sdtPr>
    <w:sdtEndPr/>
    <w:sdtContent>
      <w:p w:rsidR="00381313" w:rsidRDefault="003813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411">
          <w:rPr>
            <w:noProof/>
          </w:rPr>
          <w:t>10</w:t>
        </w:r>
        <w:r>
          <w:fldChar w:fldCharType="end"/>
        </w:r>
      </w:p>
    </w:sdtContent>
  </w:sdt>
  <w:p w:rsidR="00381313" w:rsidRDefault="003813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85157"/>
    <w:rsid w:val="000A6180"/>
    <w:rsid w:val="00103680"/>
    <w:rsid w:val="00167D62"/>
    <w:rsid w:val="00191147"/>
    <w:rsid w:val="001C18A4"/>
    <w:rsid w:val="001F56FA"/>
    <w:rsid w:val="0023149D"/>
    <w:rsid w:val="00235B28"/>
    <w:rsid w:val="00245CCC"/>
    <w:rsid w:val="002C4FB6"/>
    <w:rsid w:val="002D4411"/>
    <w:rsid w:val="003049DF"/>
    <w:rsid w:val="00334D84"/>
    <w:rsid w:val="00381313"/>
    <w:rsid w:val="003A2F94"/>
    <w:rsid w:val="003C0076"/>
    <w:rsid w:val="003F54C6"/>
    <w:rsid w:val="003F6AA6"/>
    <w:rsid w:val="00406038"/>
    <w:rsid w:val="00460905"/>
    <w:rsid w:val="004A72BF"/>
    <w:rsid w:val="004D48E1"/>
    <w:rsid w:val="004F3ECD"/>
    <w:rsid w:val="004F6D68"/>
    <w:rsid w:val="005012E4"/>
    <w:rsid w:val="00501D24"/>
    <w:rsid w:val="00530E97"/>
    <w:rsid w:val="00532FA8"/>
    <w:rsid w:val="005A6D5E"/>
    <w:rsid w:val="005B2C3A"/>
    <w:rsid w:val="005C6A15"/>
    <w:rsid w:val="005D4BC1"/>
    <w:rsid w:val="005D5568"/>
    <w:rsid w:val="00665199"/>
    <w:rsid w:val="00673930"/>
    <w:rsid w:val="006E1E2E"/>
    <w:rsid w:val="006F5FC6"/>
    <w:rsid w:val="00736B96"/>
    <w:rsid w:val="00743274"/>
    <w:rsid w:val="00747C39"/>
    <w:rsid w:val="00791614"/>
    <w:rsid w:val="007949F6"/>
    <w:rsid w:val="007E498B"/>
    <w:rsid w:val="007F66E5"/>
    <w:rsid w:val="00820F36"/>
    <w:rsid w:val="008270F5"/>
    <w:rsid w:val="00913388"/>
    <w:rsid w:val="00915FF9"/>
    <w:rsid w:val="009434BB"/>
    <w:rsid w:val="009449AA"/>
    <w:rsid w:val="009561DA"/>
    <w:rsid w:val="00991842"/>
    <w:rsid w:val="00A34DE4"/>
    <w:rsid w:val="00A45AA9"/>
    <w:rsid w:val="00A46726"/>
    <w:rsid w:val="00A77117"/>
    <w:rsid w:val="00AC1398"/>
    <w:rsid w:val="00AC149F"/>
    <w:rsid w:val="00BA2FE2"/>
    <w:rsid w:val="00BB3E83"/>
    <w:rsid w:val="00BD1908"/>
    <w:rsid w:val="00BE76E6"/>
    <w:rsid w:val="00C43BF5"/>
    <w:rsid w:val="00CC1879"/>
    <w:rsid w:val="00CE2341"/>
    <w:rsid w:val="00D16EF4"/>
    <w:rsid w:val="00D222DB"/>
    <w:rsid w:val="00D7243D"/>
    <w:rsid w:val="00DB4CAD"/>
    <w:rsid w:val="00E628AE"/>
    <w:rsid w:val="00E7214A"/>
    <w:rsid w:val="00EC0D2C"/>
    <w:rsid w:val="00F52B7A"/>
    <w:rsid w:val="00FB715F"/>
    <w:rsid w:val="00FC4CEB"/>
    <w:rsid w:val="00FD6711"/>
    <w:rsid w:val="00FE5795"/>
    <w:rsid w:val="00FF385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367322F949AC0E6E8B281E1BD11C854607C5197178798D6E9B1486CE0D787BE3914ADCF47C68A508A746166w5D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D5BB-500E-4C12-87DA-E6A2655A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2025-09-02T07:49:00Z</cp:lastPrinted>
  <dcterms:created xsi:type="dcterms:W3CDTF">2025-09-02T11:09:00Z</dcterms:created>
  <dcterms:modified xsi:type="dcterms:W3CDTF">2025-09-02T11:09:00Z</dcterms:modified>
</cp:coreProperties>
</file>