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34241B">
      <w:pPr>
        <w:pStyle w:val="ConsPlusNonformat"/>
        <w:tabs>
          <w:tab w:val="left" w:pos="9639"/>
        </w:tabs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34241B">
      <w:pPr>
        <w:pStyle w:val="ConsPlusNonforma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053229" w:rsidRPr="00053229" w:rsidRDefault="00053229" w:rsidP="000532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532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Министерство жилищно-коммунального хозяйства и строительства Ульяновской области, ведущий юрисконсульт организационно-правового отдела Фонда модернизации жилищно-коммунального комплекса Ульяновской области Гордеева О.Ю.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053229" w:rsidRDefault="00FB715F" w:rsidP="000532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</w:p>
    <w:p w:rsidR="007F20B6" w:rsidRPr="007F20B6" w:rsidRDefault="007F20B6" w:rsidP="007F2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</w:t>
      </w:r>
      <w:r w:rsidRPr="00824EF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роект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</w:t>
      </w:r>
      <w:r w:rsidRPr="00C13582">
        <w:rPr>
          <w:rFonts w:ascii="PT Astra Serif" w:hAnsi="PT Astra Serif"/>
          <w:bCs/>
          <w:sz w:val="28"/>
          <w:szCs w:val="28"/>
        </w:rPr>
        <w:t xml:space="preserve"> Ульяновской области </w:t>
      </w:r>
      <w:r w:rsidRPr="007F20B6">
        <w:rPr>
          <w:rFonts w:ascii="PT Astra Serif" w:hAnsi="PT Astra Serif"/>
          <w:bCs/>
          <w:sz w:val="28"/>
          <w:szCs w:val="28"/>
        </w:rPr>
        <w:t>«</w:t>
      </w:r>
      <w:r w:rsidRPr="007F20B6">
        <w:rPr>
          <w:rFonts w:ascii="PT Astra Serif" w:hAnsi="PT Astra Serif"/>
          <w:sz w:val="28"/>
          <w:szCs w:val="28"/>
        </w:rPr>
        <w:t xml:space="preserve">Об утверждении 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</w:t>
      </w:r>
      <w:r w:rsidRPr="007F20B6">
        <w:rPr>
          <w:rFonts w:ascii="PT Astra Serif" w:hAnsi="PT Astra Serif"/>
          <w:bCs/>
          <w:szCs w:val="28"/>
        </w:rPr>
        <w:t>»</w:t>
      </w:r>
      <w:r w:rsidRPr="007F20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="00053229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7F20B6">
        <w:rPr>
          <w:rFonts w:ascii="PT Astra Serif" w:hAnsi="PT Astra Serif"/>
          <w:sz w:val="28"/>
          <w:szCs w:val="28"/>
          <w:u w:val="single"/>
        </w:rPr>
        <w:t>июль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 xml:space="preserve"> 2025</w:t>
      </w:r>
      <w:r w:rsidR="0034241B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F52B7A">
        <w:rPr>
          <w:rFonts w:ascii="PT Astra Serif" w:hAnsi="PT Astra Serif"/>
          <w:sz w:val="28"/>
          <w:szCs w:val="28"/>
        </w:rPr>
        <w:t>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7F20B6" w:rsidRPr="007F20B6" w:rsidRDefault="007F20B6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t>С</w:t>
      </w:r>
      <w:r w:rsidRPr="007F20B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01.09.2024 вступил в силу Федеральный закон </w:t>
      </w:r>
      <w:r w:rsidRPr="007F20B6">
        <w:rPr>
          <w:rFonts w:ascii="PT Astra Serif" w:hAnsi="PT Astra Serif"/>
          <w:sz w:val="28"/>
          <w:szCs w:val="28"/>
        </w:rPr>
        <w:t xml:space="preserve">от 27.11.2023 № 561-ФЗ «О внесении изменений в Жилищный кодекс Российской Федерации», предусматривающий механизм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домах. В соответствии с частью 6 статьи 167 Жилищного кодекса Российской Федерации органы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Федерации, которыми устанавливается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учёта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</w:t>
      </w:r>
      <w:r w:rsidRPr="007F20B6">
        <w:rPr>
          <w:rFonts w:ascii="PT Astra Serif" w:hAnsi="PT Astra Serif"/>
          <w:sz w:val="28"/>
          <w:szCs w:val="28"/>
        </w:rPr>
        <w:lastRenderedPageBreak/>
        <w:t>домах, при подготовке и утверждении такой программы или внесении в неё изменений.</w:t>
      </w:r>
    </w:p>
    <w:p w:rsidR="007F20B6" w:rsidRPr="007F20B6" w:rsidRDefault="007F20B6" w:rsidP="007F20B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t xml:space="preserve">Проектом акта предлагается утвердить Положение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7F20B6" w:rsidRPr="007F20B6" w:rsidRDefault="007F20B6" w:rsidP="007F2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t xml:space="preserve">Проект акта подготовлен в соответствии с пунктом 3 части 6 статьи 167 Жилищного кодекса Российской Федерации и 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в целях установления </w:t>
      </w:r>
      <w:r w:rsidRPr="007F20B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порядка организации проведения обследования технического состояния многоквартирных домов, включённых                 в региональную программу капитального ремонта общего имущества                             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bCs/>
          <w:sz w:val="28"/>
          <w:szCs w:val="28"/>
        </w:rPr>
        <w:t xml:space="preserve">утверждённую постановлением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домах, расположенных                       на территории Ульяновской области», </w:t>
      </w:r>
      <w:r w:rsidRPr="007F20B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и учёта результатов указанного обследования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при подготовке и утверждении региональной программы или внесении в неё изменений</w:t>
      </w:r>
      <w:r w:rsidRPr="007F20B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7F20B6" w:rsidRPr="007F20B6" w:rsidRDefault="00053229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7F20B6">
        <w:rPr>
          <w:rFonts w:ascii="PT Astra Serif" w:hAnsi="PT Astra Serif"/>
          <w:sz w:val="28"/>
          <w:szCs w:val="28"/>
        </w:rPr>
        <w:t xml:space="preserve"> </w:t>
      </w:r>
      <w:r w:rsidR="007F20B6" w:rsidRPr="007F20B6">
        <w:rPr>
          <w:rFonts w:ascii="PT Astra Serif" w:hAnsi="PT Astra Serif"/>
          <w:sz w:val="28"/>
          <w:szCs w:val="28"/>
        </w:rPr>
        <w:t xml:space="preserve">Утверждение 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="007F20B6"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начало:  </w:t>
      </w:r>
      <w:r w:rsidR="007F20B6">
        <w:rPr>
          <w:rFonts w:ascii="PT Astra Serif" w:hAnsi="PT Astra Serif"/>
          <w:sz w:val="28"/>
          <w:szCs w:val="28"/>
        </w:rPr>
        <w:t>14.05.2025</w:t>
      </w:r>
      <w:r w:rsidR="0034241B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г.; окончание: </w:t>
      </w:r>
      <w:r w:rsidR="007F20B6">
        <w:rPr>
          <w:rFonts w:ascii="PT Astra Serif" w:hAnsi="PT Astra Serif"/>
          <w:sz w:val="28"/>
          <w:szCs w:val="28"/>
        </w:rPr>
        <w:t>23.05.2025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</w:t>
      </w:r>
      <w:r w:rsidR="007F20B6" w:rsidRPr="007F20B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B53168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____</w:t>
      </w:r>
      <w:r w:rsidR="00AD4915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>Гордеева Олеся Юрьевна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</w:t>
      </w:r>
      <w:r w:rsidR="00053229" w:rsidRPr="00053229">
        <w:rPr>
          <w:rFonts w:ascii="PT Astra Serif" w:eastAsia="Times New Roman" w:hAnsi="PT Astra Serif" w:cs="Times New Roman"/>
          <w:bCs/>
          <w:sz w:val="28"/>
          <w:szCs w:val="28"/>
        </w:rPr>
        <w:t xml:space="preserve"> ведущий юрисконсульт организационно-правового отдела Фонда модернизации жилищно-коммунального комплекса Ульяновской области 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  <w:r w:rsidR="00053229">
        <w:rPr>
          <w:rFonts w:ascii="PT Astra Serif" w:hAnsi="PT Astra Serif"/>
          <w:sz w:val="28"/>
          <w:szCs w:val="28"/>
        </w:rPr>
        <w:t>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Pr="00053229">
        <w:rPr>
          <w:rFonts w:ascii="PT Astra Serif" w:hAnsi="PT Astra Serif"/>
          <w:sz w:val="28"/>
          <w:szCs w:val="28"/>
          <w:u w:val="single"/>
        </w:rPr>
        <w:t>__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>+79603757137</w:t>
      </w:r>
      <w:r w:rsidR="00BA2FE2" w:rsidRPr="00F52B7A">
        <w:rPr>
          <w:rFonts w:ascii="PT Astra Serif" w:hAnsi="PT Astra Serif"/>
          <w:sz w:val="28"/>
          <w:szCs w:val="28"/>
        </w:rPr>
        <w:t>______________</w:t>
      </w:r>
    </w:p>
    <w:p w:rsidR="00053229" w:rsidRPr="0020048C" w:rsidRDefault="00FB715F" w:rsidP="0005322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053229" w:rsidRPr="0005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olesa</w:t>
      </w:r>
      <w:proofErr w:type="spellEnd"/>
      <w:r w:rsidR="00053229" w:rsidRPr="002004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gordeeva</w:t>
      </w:r>
      <w:proofErr w:type="spellEnd"/>
      <w:r w:rsidR="00053229" w:rsidRPr="0020048C">
        <w:rPr>
          <w:rFonts w:ascii="Times New Roman" w:hAnsi="Times New Roman" w:cs="Times New Roman"/>
          <w:sz w:val="28"/>
          <w:szCs w:val="28"/>
        </w:rPr>
        <w:t>@</w:t>
      </w:r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53229" w:rsidRPr="002004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7F20B6" w:rsidRPr="007F20B6" w:rsidRDefault="007F20B6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t>С</w:t>
      </w:r>
      <w:r w:rsidRPr="007F20B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01.09.2024 вступил в силу Федеральный закон </w:t>
      </w:r>
      <w:r w:rsidRPr="007F20B6">
        <w:rPr>
          <w:rFonts w:ascii="PT Astra Serif" w:hAnsi="PT Astra Serif"/>
          <w:sz w:val="28"/>
          <w:szCs w:val="28"/>
        </w:rPr>
        <w:t xml:space="preserve">от 27.11.2023 </w:t>
      </w:r>
      <w:r w:rsidRPr="007F20B6">
        <w:rPr>
          <w:rFonts w:ascii="PT Astra Serif" w:hAnsi="PT Astra Serif"/>
          <w:sz w:val="28"/>
          <w:szCs w:val="28"/>
        </w:rPr>
        <w:br/>
        <w:t>№ 561-ФЗ «О внесении изменений в Жилищный кодекс Российской Федерации», предусматривающий механизм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домах. В соответствии с частью 6 статьи 167 Жилищного кодекса Российской Федерации органы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Федерации, которыми устанавливается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учёта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неё изменений.</w:t>
      </w:r>
    </w:p>
    <w:p w:rsidR="007F20B6" w:rsidRPr="007F20B6" w:rsidRDefault="007F20B6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t xml:space="preserve">Проектом акта предлагается утвердить Положение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изменений.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7F20B6" w:rsidRPr="007F20B6" w:rsidRDefault="00053229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053229">
        <w:rPr>
          <w:rFonts w:ascii="PT Astra Serif" w:hAnsi="PT Astra Serif"/>
          <w:sz w:val="28"/>
          <w:szCs w:val="28"/>
        </w:rPr>
        <w:t xml:space="preserve"> </w:t>
      </w:r>
      <w:r w:rsidR="00AD4915">
        <w:rPr>
          <w:rFonts w:ascii="PT Astra Serif" w:hAnsi="PT Astra Serif"/>
          <w:sz w:val="28"/>
          <w:szCs w:val="28"/>
        </w:rPr>
        <w:t>Исполнение требований</w:t>
      </w:r>
      <w:r w:rsidR="007F20B6" w:rsidRPr="007F20B6">
        <w:rPr>
          <w:rFonts w:ascii="PT Astra Serif" w:hAnsi="PT Astra Serif"/>
          <w:sz w:val="28"/>
          <w:szCs w:val="28"/>
        </w:rPr>
        <w:t xml:space="preserve"> статьи 167 Жилищного кодекса Российской Федерации</w:t>
      </w:r>
      <w:r w:rsidR="00AD4915">
        <w:rPr>
          <w:rFonts w:ascii="PT Astra Serif" w:hAnsi="PT Astra Serif"/>
          <w:sz w:val="28"/>
          <w:szCs w:val="28"/>
        </w:rPr>
        <w:t xml:space="preserve"> в соответствии с которой</w:t>
      </w:r>
      <w:r w:rsidR="007F20B6" w:rsidRPr="007F20B6">
        <w:rPr>
          <w:rFonts w:ascii="PT Astra Serif" w:hAnsi="PT Astra Serif"/>
          <w:sz w:val="28"/>
          <w:szCs w:val="28"/>
        </w:rPr>
        <w:t xml:space="preserve"> органы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</w:t>
      </w:r>
      <w:r w:rsidR="00AD4915">
        <w:rPr>
          <w:rFonts w:ascii="PT Astra Serif" w:hAnsi="PT Astra Serif"/>
          <w:sz w:val="28"/>
          <w:szCs w:val="28"/>
        </w:rPr>
        <w:t>.</w:t>
      </w:r>
    </w:p>
    <w:p w:rsidR="007F20B6" w:rsidRPr="007F20B6" w:rsidRDefault="007F20B6" w:rsidP="007F2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F20B6">
        <w:rPr>
          <w:rFonts w:ascii="PT Astra Serif" w:hAnsi="PT Astra Serif"/>
          <w:sz w:val="28"/>
          <w:szCs w:val="28"/>
        </w:rPr>
        <w:lastRenderedPageBreak/>
        <w:t xml:space="preserve">Проектом акта предлагается утвердить Положение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изменений.</w:t>
      </w:r>
    </w:p>
    <w:p w:rsidR="00053229" w:rsidRPr="00053229" w:rsidRDefault="00053229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475589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053229" w:rsidRPr="00475589" w:rsidRDefault="00FE2136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F20B6">
        <w:rPr>
          <w:rFonts w:ascii="PT Astra Serif" w:hAnsi="PT Astra Serif"/>
          <w:sz w:val="28"/>
          <w:szCs w:val="28"/>
        </w:rPr>
        <w:t>е имеется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475589" w:rsidRDefault="0047558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</w:t>
      </w:r>
      <w:r w:rsidR="00475589" w:rsidRPr="00475589">
        <w:rPr>
          <w:rFonts w:ascii="PT Astra Serif" w:hAnsi="PT Astra Serif"/>
          <w:sz w:val="28"/>
          <w:szCs w:val="28"/>
          <w:u w:val="single"/>
        </w:rPr>
        <w:t>не возникало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E2136" w:rsidRPr="00FE2136" w:rsidRDefault="00FE2136" w:rsidP="00FE21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E2136">
        <w:rPr>
          <w:rFonts w:ascii="PT Astra Serif" w:hAnsi="PT Astra Serif"/>
          <w:spacing w:val="4"/>
          <w:sz w:val="28"/>
          <w:szCs w:val="28"/>
        </w:rPr>
        <w:t xml:space="preserve">К полномочиям органов государственной власти субъекта Российской Федерации в области жилищных отношений относится </w:t>
      </w:r>
      <w:r w:rsidRPr="00FE2136">
        <w:rPr>
          <w:rFonts w:ascii="PT Astra Serif" w:hAnsi="PT Astra Serif"/>
          <w:sz w:val="28"/>
          <w:szCs w:val="28"/>
        </w:rPr>
        <w:t>принятие нормативных правовых актов, направленных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Федерации, которыми устанавливается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учёта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неё изменений.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E2136" w:rsidRPr="00FE2136" w:rsidRDefault="00FE2136" w:rsidP="00FE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36">
        <w:rPr>
          <w:rFonts w:ascii="PT Astra Serif" w:hAnsi="PT Astra Serif"/>
          <w:sz w:val="28"/>
          <w:szCs w:val="28"/>
          <w:shd w:val="clear" w:color="auto" w:fill="FFFFFF"/>
        </w:rPr>
        <w:t xml:space="preserve"> Жилищный кодекс Российской Федерации, </w:t>
      </w:r>
      <w:r w:rsidRPr="00FE2136">
        <w:rPr>
          <w:rFonts w:ascii="PT Astra Serif" w:hAnsi="PT Astra Serif"/>
          <w:sz w:val="28"/>
          <w:szCs w:val="28"/>
        </w:rPr>
        <w:t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FB715F" w:rsidRPr="00F52B7A" w:rsidRDefault="00FE213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BA2FE2" w:rsidRPr="00F52B7A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C04E5C" w:rsidRPr="00C04E5C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475589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75589" w:rsidRPr="00475589" w:rsidRDefault="00FE2136" w:rsidP="00FE213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Данный правовой акт разработан с учётом положительного опыта других субъектов Российской Федерации в данной сфере. </w:t>
      </w:r>
    </w:p>
    <w:p w:rsidR="00FB715F" w:rsidRPr="00F52B7A" w:rsidRDefault="00BA2FE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D4915">
      <w:pPr>
        <w:pStyle w:val="ConsPlusNonformat"/>
        <w:ind w:firstLine="709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E2136" w:rsidRPr="00FE2136" w:rsidRDefault="00FE2136" w:rsidP="00FE2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136">
        <w:rPr>
          <w:rFonts w:ascii="PT Astra Serif" w:hAnsi="PT Astra Serif"/>
          <w:sz w:val="28"/>
          <w:szCs w:val="28"/>
        </w:rPr>
        <w:t xml:space="preserve">Проект акта подготовлен в соответствии с пунктом 3 части 6 статьи 167 Жилищного кодекса Российской Федерации и 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в целях установления </w:t>
      </w:r>
      <w:r w:rsidRPr="00FE213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порядка организации проведения обследования технического состояния многоквартирных домов, включённых                 в</w:t>
      </w:r>
      <w:r w:rsidR="00AD4915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FE213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региональную программу капитального ремонта общего имущества  в многоквартирных домах, расположенных на территории Ульяновской области, </w:t>
      </w:r>
      <w:r w:rsidRPr="00FE2136">
        <w:rPr>
          <w:rFonts w:ascii="PT Astra Serif" w:hAnsi="PT Astra Serif"/>
          <w:bCs/>
          <w:sz w:val="28"/>
          <w:szCs w:val="28"/>
        </w:rPr>
        <w:t xml:space="preserve">утверждённую постановлением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домах, расположенных                       на территории Ульяновской области», </w:t>
      </w:r>
      <w:r w:rsidRPr="00FE213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и учёта результатов указанного обследования </w:t>
      </w:r>
      <w:r w:rsidRPr="00FE2136">
        <w:rPr>
          <w:rFonts w:ascii="PT Astra Serif" w:hAnsi="PT Astra Serif"/>
          <w:sz w:val="28"/>
          <w:szCs w:val="28"/>
          <w:shd w:val="clear" w:color="auto" w:fill="FFFFFF"/>
        </w:rPr>
        <w:t>при подготовке и утверждении региональной программы или внесении в неё изменений</w:t>
      </w:r>
      <w:r w:rsidRPr="00FE213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E2136" w:rsidRPr="00FE2136" w:rsidRDefault="00FE2136" w:rsidP="00FE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36">
        <w:rPr>
          <w:rFonts w:ascii="PT Astra Serif" w:hAnsi="PT Astra Serif"/>
          <w:sz w:val="28"/>
          <w:szCs w:val="28"/>
          <w:shd w:val="clear" w:color="auto" w:fill="FFFFFF"/>
        </w:rPr>
        <w:t xml:space="preserve">Жилищный кодекс Российской Федерации, </w:t>
      </w:r>
      <w:r w:rsidRPr="00FE2136">
        <w:rPr>
          <w:rFonts w:ascii="PT Astra Serif" w:hAnsi="PT Astra Serif"/>
          <w:sz w:val="28"/>
          <w:szCs w:val="28"/>
        </w:rPr>
        <w:t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E2136" w:rsidRPr="0002296A" w:rsidRDefault="00FB715F" w:rsidP="00FE21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F52B7A">
              <w:rPr>
                <w:rFonts w:ascii="PT Astra Serif" w:hAnsi="PT Astra Serif"/>
              </w:rPr>
              <w:t>(Цель 1)</w:t>
            </w:r>
            <w:r w:rsidR="00FE2136">
              <w:rPr>
                <w:rFonts w:ascii="PT Astra Serif" w:hAnsi="PT Astra Serif"/>
              </w:rPr>
              <w:t xml:space="preserve"> </w:t>
            </w:r>
            <w:r w:rsidR="00FE2136">
              <w:rPr>
                <w:rFonts w:ascii="PT Astra Serif" w:hAnsi="PT Astra Serif"/>
                <w:bCs/>
              </w:rPr>
              <w:t xml:space="preserve">Целью проекта является </w:t>
            </w:r>
            <w:r w:rsidR="00FE2136" w:rsidRPr="0002296A">
              <w:rPr>
                <w:rFonts w:ascii="PT Astra Serif" w:hAnsi="PT Astra Serif"/>
              </w:rPr>
              <w:t>утвер</w:t>
            </w:r>
            <w:r w:rsidR="00FE2136">
              <w:rPr>
                <w:rFonts w:ascii="PT Astra Serif" w:hAnsi="PT Astra Serif"/>
              </w:rPr>
              <w:t>ждение</w:t>
            </w:r>
            <w:r w:rsidR="00FE2136" w:rsidRPr="0002296A">
              <w:rPr>
                <w:rFonts w:ascii="PT Astra Serif" w:hAnsi="PT Astra Serif"/>
              </w:rPr>
              <w:t xml:space="preserve"> Положени</w:t>
            </w:r>
            <w:r w:rsidR="00FE2136">
              <w:rPr>
                <w:rFonts w:ascii="PT Astra Serif" w:hAnsi="PT Astra Serif"/>
              </w:rPr>
              <w:t>я</w:t>
            </w:r>
            <w:r w:rsidR="00FE2136" w:rsidRPr="0002296A">
              <w:rPr>
                <w:rFonts w:ascii="PT Astra Serif" w:hAnsi="PT Astra Serif"/>
              </w:rPr>
              <w:t xml:space="preserve">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</w:t>
            </w:r>
            <w:r w:rsidR="00FE2136" w:rsidRPr="0002296A">
              <w:rPr>
                <w:rFonts w:ascii="PT Astra Serif" w:hAnsi="PT Astra Serif"/>
              </w:rPr>
              <w:lastRenderedPageBreak/>
              <w:t xml:space="preserve">многоквартирных домах, расположенных на территории Ульяновской области, </w:t>
            </w:r>
            <w:r w:rsidR="00FE2136" w:rsidRPr="0002296A">
              <w:rPr>
                <w:rFonts w:ascii="PT Astra Serif" w:hAnsi="PT Astra Serif"/>
                <w:shd w:val="clear" w:color="auto" w:fill="FFFFFF"/>
              </w:rPr>
              <w:t>и учёта результатов этого обследования при подготовке и утверждении указанной программы или внесении в неё изменений.</w:t>
            </w:r>
          </w:p>
          <w:p w:rsidR="00FE2136" w:rsidRPr="0002296A" w:rsidRDefault="00FE2136" w:rsidP="00FE2136">
            <w:pPr>
              <w:suppressAutoHyphens/>
              <w:spacing w:after="0" w:line="240" w:lineRule="auto"/>
              <w:ind w:firstLine="2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E2136" w:rsidRDefault="00FE2136" w:rsidP="00475589">
            <w:pPr>
              <w:suppressAutoHyphens/>
              <w:spacing w:after="0" w:line="240" w:lineRule="auto"/>
              <w:ind w:firstLine="2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B715F" w:rsidRPr="00F52B7A" w:rsidRDefault="00475589" w:rsidP="00FE2136">
            <w:pPr>
              <w:suppressAutoHyphens/>
              <w:spacing w:after="0" w:line="240" w:lineRule="auto"/>
              <w:ind w:firstLine="2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FB715F" w:rsidRPr="00F52B7A" w:rsidRDefault="00475589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цель достигается при принятии нормативного акта</w:t>
            </w:r>
          </w:p>
        </w:tc>
        <w:tc>
          <w:tcPr>
            <w:tcW w:w="423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-------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475589" w:rsidRPr="00475589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75589">
        <w:rPr>
          <w:rFonts w:ascii="PT Astra Serif" w:hAnsi="PT Astra Serif"/>
          <w:bCs/>
          <w:sz w:val="28"/>
          <w:szCs w:val="28"/>
        </w:rPr>
        <w:t xml:space="preserve">Предлагаемые законопроектом изменения направлены на исполнение </w:t>
      </w:r>
      <w:r w:rsidR="0034241B">
        <w:rPr>
          <w:rFonts w:ascii="PT Astra Serif" w:hAnsi="PT Astra Serif"/>
          <w:bCs/>
          <w:sz w:val="28"/>
          <w:szCs w:val="28"/>
        </w:rPr>
        <w:t xml:space="preserve">положений 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Жилищного кодекса Российской Федерации, </w:t>
      </w:r>
      <w:r w:rsidRPr="00475589">
        <w:rPr>
          <w:rFonts w:ascii="PT Astra Serif" w:hAnsi="PT Astra Serif"/>
          <w:sz w:val="28"/>
          <w:szCs w:val="28"/>
        </w:rPr>
        <w:t>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475589" w:rsidRPr="00F52B7A" w:rsidRDefault="0047558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475589" w:rsidRPr="00475589" w:rsidRDefault="00475589" w:rsidP="004755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475589">
        <w:rPr>
          <w:rFonts w:ascii="PT Astra Serif" w:hAnsi="PT Astra Serif"/>
          <w:bCs/>
          <w:sz w:val="28"/>
          <w:szCs w:val="28"/>
        </w:rPr>
        <w:t xml:space="preserve"> </w:t>
      </w:r>
    </w:p>
    <w:p w:rsidR="001834D3" w:rsidRPr="007F20B6" w:rsidRDefault="001834D3" w:rsidP="001834D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Утверждение</w:t>
      </w:r>
      <w:r w:rsidRPr="007F20B6">
        <w:rPr>
          <w:rFonts w:ascii="PT Astra Serif" w:hAnsi="PT Astra Serif"/>
          <w:sz w:val="28"/>
          <w:szCs w:val="28"/>
        </w:rPr>
        <w:t xml:space="preserve"> Положени</w:t>
      </w:r>
      <w:r>
        <w:rPr>
          <w:rFonts w:ascii="PT Astra Serif" w:hAnsi="PT Astra Serif"/>
          <w:sz w:val="28"/>
          <w:szCs w:val="28"/>
        </w:rPr>
        <w:t>я</w:t>
      </w:r>
      <w:r w:rsidRPr="007F20B6">
        <w:rPr>
          <w:rFonts w:ascii="PT Astra Serif" w:hAnsi="PT Astra Serif"/>
          <w:sz w:val="28"/>
          <w:szCs w:val="28"/>
        </w:rPr>
        <w:t xml:space="preserve">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изменений.</w:t>
      </w:r>
    </w:p>
    <w:p w:rsidR="00AD4915" w:rsidRDefault="001834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Выбранный способ является оптимальным.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</w:t>
      </w:r>
      <w:r w:rsidR="001834D3">
        <w:rPr>
          <w:rFonts w:ascii="PT Astra Serif" w:hAnsi="PT Astra Serif"/>
          <w:sz w:val="28"/>
          <w:szCs w:val="28"/>
        </w:rPr>
        <w:t>__________</w:t>
      </w:r>
      <w:r w:rsidR="00AD4915">
        <w:rPr>
          <w:rFonts w:ascii="PT Astra Serif" w:hAnsi="PT Astra Serif"/>
          <w:sz w:val="28"/>
          <w:szCs w:val="28"/>
        </w:rPr>
        <w:t>____________________________________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62395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04E5C">
        <w:rPr>
          <w:rFonts w:ascii="PT Astra Serif" w:hAnsi="PT Astra Serif"/>
          <w:sz w:val="28"/>
          <w:szCs w:val="28"/>
          <w:u w:val="single"/>
        </w:rPr>
        <w:t>отсутствует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lastRenderedPageBreak/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1834D3" w:rsidRPr="0070062D" w:rsidRDefault="00FB715F" w:rsidP="001834D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52B7A">
              <w:rPr>
                <w:rFonts w:ascii="PT Astra Serif" w:hAnsi="PT Astra Serif"/>
              </w:rPr>
              <w:t>(Группа 1)</w:t>
            </w:r>
            <w:r w:rsidR="00475589" w:rsidRPr="00C85CC9">
              <w:rPr>
                <w:rFonts w:ascii="PT Astra Serif" w:hAnsi="PT Astra Serif"/>
                <w:color w:val="22272F"/>
                <w:shd w:val="clear" w:color="auto" w:fill="FFFFFF"/>
              </w:rPr>
              <w:t xml:space="preserve"> </w:t>
            </w:r>
            <w:r w:rsidR="001834D3" w:rsidRPr="0070062D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Юридические лица,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      </w:r>
          </w:p>
          <w:p w:rsidR="00FB715F" w:rsidRPr="00F52B7A" w:rsidRDefault="00FB715F" w:rsidP="001834D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 информация</w:t>
            </w:r>
          </w:p>
        </w:tc>
        <w:tc>
          <w:tcPr>
            <w:tcW w:w="3686" w:type="dxa"/>
            <w:vAlign w:val="center"/>
          </w:tcPr>
          <w:p w:rsidR="00FB715F" w:rsidRPr="00F52B7A" w:rsidRDefault="001834D3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 информация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1834D3" w:rsidRPr="00FE2136" w:rsidRDefault="00475589" w:rsidP="0018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D3">
        <w:rPr>
          <w:rFonts w:ascii="PT Astra Serif" w:hAnsi="PT Astra Serif"/>
          <w:sz w:val="28"/>
          <w:szCs w:val="28"/>
        </w:rPr>
        <w:t>Жилищный кодекс Российской Федерации</w:t>
      </w:r>
      <w:r w:rsidR="001834D3" w:rsidRPr="001834D3">
        <w:rPr>
          <w:rFonts w:ascii="PT Astra Serif" w:hAnsi="PT Astra Serif"/>
          <w:sz w:val="28"/>
          <w:szCs w:val="28"/>
        </w:rPr>
        <w:t xml:space="preserve">, </w:t>
      </w:r>
      <w:r w:rsidR="001834D3" w:rsidRPr="00FE2136">
        <w:rPr>
          <w:rFonts w:ascii="PT Astra Serif" w:hAnsi="PT Astra Serif"/>
          <w:sz w:val="28"/>
          <w:szCs w:val="28"/>
        </w:rPr>
        <w:t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FB715F" w:rsidRPr="00F52B7A" w:rsidRDefault="0047558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BA2FE2" w:rsidRPr="00F52B7A">
        <w:rPr>
          <w:rFonts w:ascii="PT Astra Serif" w:hAnsi="PT Astra Serif"/>
          <w:sz w:val="28"/>
          <w:szCs w:val="28"/>
        </w:rPr>
        <w:t>_____________</w:t>
      </w:r>
      <w:r w:rsidR="001834D3">
        <w:rPr>
          <w:rFonts w:ascii="PT Astra Serif" w:hAnsi="PT Astra Serif"/>
          <w:sz w:val="28"/>
          <w:szCs w:val="28"/>
        </w:rPr>
        <w:t>_______________________________________________________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 1:</w:t>
            </w:r>
            <w:r w:rsidR="003C4A01">
              <w:rPr>
                <w:rFonts w:ascii="PT Astra Serif" w:hAnsi="PT Astra Serif"/>
                <w:sz w:val="24"/>
                <w:szCs w:val="24"/>
              </w:rPr>
              <w:t xml:space="preserve"> Министерство жилищно-коммунального хозяйства и строительства Ульяновской области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  <w:p w:rsidR="003C4A01" w:rsidRPr="003C4A01" w:rsidRDefault="00241961" w:rsidP="0024196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Является исполнительным органом Ульяновской области, ответственным                    за организацию проведения обследования технического состояния многоквартирных домов</w:t>
            </w:r>
          </w:p>
        </w:tc>
        <w:tc>
          <w:tcPr>
            <w:tcW w:w="1644" w:type="dxa"/>
            <w:vAlign w:val="center"/>
          </w:tcPr>
          <w:p w:rsidR="00FB715F" w:rsidRPr="00F52B7A" w:rsidRDefault="0024196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Новая функция</w:t>
            </w:r>
          </w:p>
        </w:tc>
        <w:tc>
          <w:tcPr>
            <w:tcW w:w="1587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Реализуется в соответствии со статьей </w:t>
            </w:r>
            <w:r w:rsidR="00241961">
              <w:rPr>
                <w:rFonts w:ascii="PT Astra Serif" w:hAnsi="PT Astra Serif"/>
                <w:sz w:val="24"/>
                <w:szCs w:val="24"/>
              </w:rPr>
              <w:t>167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2955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требуются</w:t>
            </w:r>
          </w:p>
        </w:tc>
        <w:tc>
          <w:tcPr>
            <w:tcW w:w="1560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требуются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  <w:r w:rsidR="00AD4915">
              <w:rPr>
                <w:rFonts w:ascii="PT Astra Serif" w:hAnsi="PT Astra Serif"/>
                <w:sz w:val="24"/>
                <w:szCs w:val="24"/>
              </w:rPr>
              <w:t>\</w:t>
            </w:r>
          </w:p>
          <w:p w:rsidR="00AD4915" w:rsidRPr="00F52B7A" w:rsidRDefault="00AD49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  <w:p w:rsidR="00AD4915" w:rsidRPr="00F52B7A" w:rsidRDefault="00AD4915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Является исполнительным органом Ульяновской области, ответственным                    за организацию </w:t>
            </w:r>
            <w:r>
              <w:rPr>
                <w:rFonts w:ascii="PT Astra Serif" w:hAnsi="PT Astra Serif"/>
              </w:rPr>
              <w:lastRenderedPageBreak/>
              <w:t>проведения обследования технического состояния многоквартирных домов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AD4915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  <w:p w:rsidR="00FB715F" w:rsidRDefault="00FB715F" w:rsidP="00AD4915">
            <w:pPr>
              <w:rPr>
                <w:lang w:eastAsia="ru-RU"/>
              </w:rPr>
            </w:pPr>
          </w:p>
          <w:p w:rsidR="00AD4915" w:rsidRDefault="00AD4915" w:rsidP="00AD4915">
            <w:pPr>
              <w:ind w:hanging="11"/>
              <w:jc w:val="both"/>
              <w:rPr>
                <w:rFonts w:ascii="PT Astra Serif" w:hAnsi="PT Astra Serif"/>
              </w:rPr>
            </w:pPr>
            <w:r w:rsidRPr="00AD4915">
              <w:rPr>
                <w:rFonts w:ascii="PT Astra Serif" w:hAnsi="PT Astra Serif"/>
                <w:sz w:val="24"/>
                <w:szCs w:val="24"/>
                <w:lang w:eastAsia="ru-RU"/>
              </w:rPr>
              <w:t>Нет информации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PT Astra Serif" w:hAnsi="PT Astra Serif"/>
              </w:rPr>
              <w:t>Если соответствующие бюджетные ассигнования предусмотрены Законом Ульяновской области об областном бюджете Ульяновской области                                на соответствующий финансовый год и плановый период.</w:t>
            </w:r>
          </w:p>
          <w:p w:rsidR="00AD4915" w:rsidRPr="00AD4915" w:rsidRDefault="00AD4915" w:rsidP="00AD4915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1834D3" w:rsidRPr="00F52B7A" w:rsidRDefault="001834D3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3C4A01" w:rsidRDefault="00FB715F" w:rsidP="002419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FB715F" w:rsidRPr="00F52B7A" w:rsidRDefault="0024196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Pr="00241961">
        <w:rPr>
          <w:rFonts w:ascii="PT Astra Serif" w:hAnsi="PT Astra Serif"/>
          <w:sz w:val="28"/>
          <w:szCs w:val="28"/>
          <w:u w:val="single"/>
        </w:rPr>
        <w:t>тсутствуют</w:t>
      </w:r>
      <w:r w:rsidR="00FB715F" w:rsidRPr="00F52B7A">
        <w:rPr>
          <w:rFonts w:ascii="PT Astra Serif" w:hAnsi="PT Astra Serif"/>
          <w:sz w:val="28"/>
          <w:szCs w:val="28"/>
        </w:rPr>
        <w:t>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  <w:r w:rsidR="00C04E5C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Pr="00F52B7A" w:rsidRDefault="00C04E5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04E5C">
        <w:rPr>
          <w:rFonts w:ascii="PT Astra Serif" w:hAnsi="PT Astra Serif"/>
          <w:sz w:val="28"/>
          <w:szCs w:val="28"/>
          <w:u w:val="single"/>
        </w:rPr>
        <w:t>отсутстуют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  <w:r w:rsidR="00241961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  <w:p w:rsidR="00623955" w:rsidRPr="00F52B7A" w:rsidRDefault="00623955" w:rsidP="0062395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23955" w:rsidRPr="00623955" w:rsidRDefault="00623955" w:rsidP="00623955">
            <w:pPr>
              <w:pStyle w:val="ConsPlusNonforma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Проект акта не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предусматривает отмену обязанностей, запретов или ограничений </w:t>
            </w:r>
            <w:r w:rsidRPr="00623955">
              <w:rPr>
                <w:rFonts w:ascii="PT Astra Serif" w:hAnsi="PT Astra Serif"/>
                <w:sz w:val="24"/>
                <w:szCs w:val="24"/>
              </w:rPr>
              <w:t>для субъектов</w:t>
            </w:r>
          </w:p>
          <w:p w:rsidR="00FB715F" w:rsidRPr="00F52B7A" w:rsidRDefault="00623955" w:rsidP="0062395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3955">
              <w:rPr>
                <w:rFonts w:ascii="PT Astra Serif" w:hAnsi="PT Astra Serif"/>
                <w:sz w:val="24"/>
                <w:szCs w:val="24"/>
              </w:rPr>
              <w:t>предпринимательской и иной экономической деятельности</w:t>
            </w:r>
          </w:p>
        </w:tc>
        <w:tc>
          <w:tcPr>
            <w:tcW w:w="2268" w:type="dxa"/>
            <w:vAlign w:val="center"/>
          </w:tcPr>
          <w:p w:rsidR="00FB715F" w:rsidRPr="00F52B7A" w:rsidRDefault="0062395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  <w:r w:rsidR="00623955">
              <w:rPr>
                <w:rFonts w:ascii="PT Astra Serif" w:hAnsi="PT Astra Serif"/>
                <w:sz w:val="24"/>
                <w:szCs w:val="24"/>
              </w:rPr>
              <w:t xml:space="preserve"> Риски не установлены</w:t>
            </w:r>
          </w:p>
        </w:tc>
        <w:tc>
          <w:tcPr>
            <w:tcW w:w="3683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842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127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_______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241961">
        <w:rPr>
          <w:rFonts w:ascii="PT Astra Serif" w:hAnsi="PT Astra Serif"/>
          <w:sz w:val="28"/>
          <w:szCs w:val="28"/>
          <w:u w:val="single"/>
        </w:rPr>
        <w:t>июль</w:t>
      </w:r>
      <w:r w:rsidR="00272C23" w:rsidRPr="00272C23">
        <w:rPr>
          <w:rFonts w:ascii="PT Astra Serif" w:hAnsi="PT Astra Serif"/>
          <w:sz w:val="28"/>
          <w:szCs w:val="28"/>
          <w:u w:val="single"/>
        </w:rPr>
        <w:t xml:space="preserve"> 2025</w:t>
      </w:r>
      <w:r w:rsidR="00840681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2855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241961">
        <w:rPr>
          <w:rFonts w:ascii="PT Astra Serif" w:hAnsi="PT Astra Serif"/>
          <w:sz w:val="28"/>
          <w:szCs w:val="28"/>
          <w:u w:val="single"/>
        </w:rPr>
        <w:t>нет.</w:t>
      </w:r>
      <w:r w:rsidR="0028551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B715F" w:rsidRPr="00241961" w:rsidRDefault="0028551C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28551C">
        <w:rPr>
          <w:rFonts w:ascii="PT Astra Serif" w:hAnsi="PT Astra Serif"/>
          <w:sz w:val="28"/>
          <w:szCs w:val="28"/>
        </w:rPr>
        <w:t xml:space="preserve">иода </w:t>
      </w:r>
      <w:r w:rsidRPr="00F52B7A">
        <w:rPr>
          <w:rFonts w:ascii="PT Astra Serif" w:hAnsi="PT Astra Serif"/>
          <w:sz w:val="28"/>
          <w:szCs w:val="28"/>
        </w:rPr>
        <w:t>и (или) отсрочки введения предлагаемого регулирования</w:t>
      </w:r>
      <w:r>
        <w:rPr>
          <w:rFonts w:ascii="PT Astra Serif" w:hAnsi="PT Astra Serif"/>
          <w:sz w:val="28"/>
          <w:szCs w:val="28"/>
        </w:rPr>
        <w:t xml:space="preserve"> 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Срок  переходного периода: __</w:t>
      </w:r>
      <w:r w:rsidR="0028551C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___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272C23" w:rsidRPr="00272C23">
        <w:rPr>
          <w:rFonts w:ascii="PT Astra Serif" w:hAnsi="PT Astra Serif"/>
          <w:sz w:val="28"/>
          <w:szCs w:val="28"/>
          <w:u w:val="single"/>
        </w:rPr>
        <w:t>не требуется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28551C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51C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  <w:p w:rsidR="0028551C" w:rsidRP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51C">
              <w:rPr>
                <w:rFonts w:ascii="PT Astra Serif" w:hAnsi="PT Astra Serif"/>
                <w:sz w:val="24"/>
                <w:szCs w:val="24"/>
              </w:rPr>
              <w:t>Проведение</w:t>
            </w:r>
          </w:p>
          <w:p w:rsidR="0028551C" w:rsidRP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51C">
              <w:rPr>
                <w:rFonts w:ascii="PT Astra Serif" w:hAnsi="PT Astra Serif"/>
                <w:sz w:val="24"/>
                <w:szCs w:val="24"/>
              </w:rPr>
              <w:t>обследовани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855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8551C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технического состояния многоквартирных домов</w:t>
            </w:r>
            <w:r w:rsidRPr="0028551C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 xml:space="preserve">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      </w:r>
          </w:p>
        </w:tc>
        <w:tc>
          <w:tcPr>
            <w:tcW w:w="2586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P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28551C">
              <w:rPr>
                <w:rFonts w:ascii="PT Astra Serif" w:hAnsi="PT Astra Serif"/>
                <w:sz w:val="24"/>
                <w:szCs w:val="24"/>
              </w:rPr>
              <w:t>беспечени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8551C">
              <w:rPr>
                <w:rFonts w:ascii="PT Astra Serif" w:hAnsi="PT Astra Serif"/>
                <w:sz w:val="24"/>
                <w:szCs w:val="24"/>
              </w:rPr>
              <w:t xml:space="preserve"> своевременного проведения капитального ремонта общего имущества в многоквартирных домах, включённых в </w:t>
            </w:r>
            <w:hyperlink r:id="rId6" w:anchor="/document/36797306/entry/1000" w:history="1">
              <w:r w:rsidRPr="0028551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</w:rPr>
                <w:t>региональную программу</w:t>
              </w:r>
            </w:hyperlink>
            <w:r w:rsidRPr="0028551C">
              <w:rPr>
                <w:rFonts w:ascii="PT Astra Serif" w:hAnsi="PT Astra Serif"/>
                <w:sz w:val="24"/>
                <w:szCs w:val="24"/>
              </w:rPr>
              <w:t xml:space="preserve">, оценки соответствия технического состояния многоквартирных домов и их систем инженерно-технического обеспечения нормативным требованиям, установленным </w:t>
            </w:r>
            <w:hyperlink r:id="rId7" w:anchor="/document/12129354/entry/0" w:history="1">
              <w:r w:rsidRPr="0028551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</w:rPr>
                <w:t>законодательством</w:t>
              </w:r>
            </w:hyperlink>
            <w:r w:rsidRPr="0028551C">
              <w:rPr>
                <w:rFonts w:ascii="PT Astra Serif" w:hAnsi="PT Astra Serif"/>
                <w:sz w:val="24"/>
                <w:szCs w:val="24"/>
              </w:rPr>
              <w:t xml:space="preserve"> Российской Федерации о техническом регулировании, определения возможности дальнейшей эксплуатации таких многоквартирных </w:t>
            </w:r>
            <w:r w:rsidRPr="0028551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домов и (или) установления необходимости проведения капитального ремонта общего имущества в таких многоквартирных домах с определением перечня и объёма услуг и (или) работ по капитальному ремонту общего имущества в многоквартирных домах </w:t>
            </w: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8551C" w:rsidRPr="00F52B7A" w:rsidRDefault="002855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---</w:t>
            </w:r>
          </w:p>
        </w:tc>
        <w:tc>
          <w:tcPr>
            <w:tcW w:w="1842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</w:t>
            </w:r>
          </w:p>
        </w:tc>
        <w:tc>
          <w:tcPr>
            <w:tcW w:w="170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_____</w:t>
      </w:r>
      <w:r w:rsidR="0028551C" w:rsidRPr="0028551C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</w:t>
      </w:r>
      <w:r w:rsidRPr="00F52B7A">
        <w:rPr>
          <w:rFonts w:ascii="PT Astra Serif" w:hAnsi="PT Astra Serif"/>
          <w:sz w:val="28"/>
          <w:szCs w:val="28"/>
        </w:rPr>
        <w:lastRenderedPageBreak/>
        <w:t>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8349CD" w:rsidRPr="008349CD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C04E5C" w:rsidRDefault="00FB715F" w:rsidP="00C15C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  <w:r w:rsidR="00C04E5C" w:rsidRPr="00C04E5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15C7F">
              <w:rPr>
                <w:rFonts w:ascii="PT Astra Serif" w:hAnsi="PT Astra Serif"/>
              </w:rPr>
              <w:t>Организация проведения обследования технического состояния многоквартирных домов, включенных в региональную программу</w:t>
            </w:r>
          </w:p>
        </w:tc>
        <w:tc>
          <w:tcPr>
            <w:tcW w:w="1497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763" w:type="dxa"/>
            <w:vAlign w:val="center"/>
          </w:tcPr>
          <w:p w:rsidR="00FB715F" w:rsidRPr="00F52B7A" w:rsidRDefault="00C15C7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28551C">
              <w:rPr>
                <w:rFonts w:ascii="PT Astra Serif" w:hAnsi="PT Astra Serif"/>
                <w:sz w:val="24"/>
                <w:szCs w:val="24"/>
              </w:rPr>
              <w:t>беспечени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8551C">
              <w:rPr>
                <w:rFonts w:ascii="PT Astra Serif" w:hAnsi="PT Astra Serif"/>
                <w:sz w:val="24"/>
                <w:szCs w:val="24"/>
              </w:rPr>
              <w:t xml:space="preserve"> своевременного проведения капитального ремонта общего имущества в многоквартирных домах, включённых в </w:t>
            </w:r>
            <w:hyperlink r:id="rId8" w:anchor="/document/36797306/entry/1000" w:history="1">
              <w:r w:rsidRPr="0028551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</w:rPr>
                <w:t>региональную программу</w:t>
              </w:r>
            </w:hyperlink>
          </w:p>
        </w:tc>
        <w:tc>
          <w:tcPr>
            <w:tcW w:w="1843" w:type="dxa"/>
            <w:vAlign w:val="center"/>
          </w:tcPr>
          <w:p w:rsidR="00FB715F" w:rsidRPr="00F52B7A" w:rsidRDefault="00E830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  <w:r w:rsidR="00C15C7F">
              <w:rPr>
                <w:rFonts w:ascii="PT Astra Serif" w:hAnsi="PT Astra Serif"/>
                <w:sz w:val="24"/>
                <w:szCs w:val="24"/>
              </w:rPr>
              <w:t xml:space="preserve"> информация</w:t>
            </w:r>
          </w:p>
        </w:tc>
        <w:tc>
          <w:tcPr>
            <w:tcW w:w="1843" w:type="dxa"/>
            <w:vAlign w:val="center"/>
          </w:tcPr>
          <w:p w:rsidR="00C15C7F" w:rsidRDefault="00C15C7F" w:rsidP="00C15C7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бюджета Ульяновской области,                                     если соответствующие бюджетные ассигнования предусмотрены Законом Ульяновской области об областном бюджете Ульяновской области                                на соответствующий финансовый год и плановый период и </w:t>
            </w:r>
            <w:r w:rsidRPr="00C15C7F">
              <w:rPr>
                <w:rFonts w:ascii="PT Astra Serif" w:hAnsi="PT Astra Serif"/>
                <w:sz w:val="24"/>
                <w:szCs w:val="24"/>
              </w:rPr>
              <w:t>средств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C15C7F">
              <w:rPr>
                <w:rFonts w:ascii="PT Astra Serif" w:hAnsi="PT Astra Serif"/>
                <w:sz w:val="24"/>
                <w:szCs w:val="24"/>
              </w:rPr>
              <w:t xml:space="preserve"> собственников помещений в многоквартирных домах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Отсутству</w:t>
      </w:r>
      <w:r w:rsidR="00C15C7F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т</w:t>
      </w:r>
      <w:r w:rsidR="00C15C7F">
        <w:rPr>
          <w:rFonts w:ascii="PT Astra Serif" w:hAnsi="PT Astra Serif"/>
          <w:sz w:val="28"/>
          <w:szCs w:val="28"/>
        </w:rPr>
        <w:t xml:space="preserve"> информация</w:t>
      </w:r>
    </w:p>
    <w:p w:rsidR="00E830F4" w:rsidRPr="00F52B7A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>
        <w:rPr>
          <w:rFonts w:ascii="PT Astra Serif" w:hAnsi="PT Astra Serif"/>
          <w:sz w:val="28"/>
          <w:szCs w:val="28"/>
          <w:u w:val="single"/>
        </w:rPr>
        <w:t>О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</w:t>
      </w:r>
      <w:r w:rsidR="00C15C7F">
        <w:rPr>
          <w:rFonts w:ascii="PT Astra Serif" w:hAnsi="PT Astra Serif"/>
          <w:sz w:val="28"/>
          <w:szCs w:val="28"/>
          <w:u w:val="single"/>
        </w:rPr>
        <w:t>е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т</w:t>
      </w:r>
      <w:r w:rsidR="00C15C7F">
        <w:rPr>
          <w:rFonts w:ascii="PT Astra Serif" w:hAnsi="PT Astra Serif"/>
          <w:sz w:val="28"/>
          <w:szCs w:val="28"/>
          <w:u w:val="single"/>
        </w:rPr>
        <w:t xml:space="preserve"> информация</w:t>
      </w:r>
      <w:r w:rsidRPr="00F52B7A">
        <w:rPr>
          <w:rFonts w:ascii="PT Astra Serif" w:hAnsi="PT Astra Serif"/>
          <w:sz w:val="28"/>
          <w:szCs w:val="28"/>
        </w:rPr>
        <w:t>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E830F4" w:rsidRDefault="00FB715F" w:rsidP="00E830F4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Соблюдение принципов установления и оценки применения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обязательных требований, установленных Федеральным законом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от 31.07.2020 </w:t>
      </w: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№ 247 ФЗ -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>
        <w:rPr>
          <w:rFonts w:ascii="PT Astra Serif" w:hAnsi="PT Astra Serif"/>
          <w:sz w:val="28"/>
          <w:szCs w:val="28"/>
        </w:rPr>
        <w:t>»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принцип законности обязательных требований СОБЛЮДЕН.</w:t>
      </w:r>
    </w:p>
    <w:p w:rsidR="00FB715F" w:rsidRPr="00F52B7A" w:rsidRDefault="00FB715F" w:rsidP="00E830F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</w:t>
      </w:r>
      <w:r w:rsidR="00A33CA5">
        <w:rPr>
          <w:rFonts w:ascii="PT Astra Serif" w:hAnsi="PT Astra Serif"/>
          <w:sz w:val="28"/>
          <w:szCs w:val="28"/>
        </w:rPr>
        <w:t>_______</w:t>
      </w:r>
      <w:r w:rsidRPr="00F52B7A">
        <w:rPr>
          <w:rFonts w:ascii="PT Astra Serif" w:hAnsi="PT Astra Serif"/>
          <w:sz w:val="28"/>
          <w:szCs w:val="28"/>
        </w:rPr>
        <w:t>г.; окончание: _</w:t>
      </w:r>
      <w:r w:rsidR="00A33CA5">
        <w:rPr>
          <w:rFonts w:ascii="PT Astra Serif" w:hAnsi="PT Astra Serif"/>
          <w:sz w:val="28"/>
          <w:szCs w:val="28"/>
        </w:rPr>
        <w:t>_________</w:t>
      </w:r>
      <w:proofErr w:type="gramStart"/>
      <w:r w:rsidRPr="00963F89">
        <w:rPr>
          <w:rFonts w:ascii="PT Astra Serif" w:hAnsi="PT Astra Serif"/>
          <w:sz w:val="28"/>
          <w:szCs w:val="28"/>
          <w:u w:val="single"/>
        </w:rPr>
        <w:t>г</w:t>
      </w:r>
      <w:proofErr w:type="gramEnd"/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</w:t>
      </w:r>
      <w:r w:rsidR="00963F89" w:rsidRPr="00D0599C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полностью: _____</w:t>
      </w:r>
      <w:r w:rsidR="00963F89" w:rsidRPr="00963F89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_______, частично: ______</w:t>
      </w:r>
      <w:r w:rsidR="00963F89" w:rsidRPr="00963F89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049BD" w:rsidRDefault="00F049B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049BD" w:rsidRPr="00F049BD" w:rsidRDefault="00A33CA5" w:rsidP="00BA2FE2">
      <w:pPr>
        <w:pStyle w:val="ConsPlusNonformat"/>
        <w:jc w:val="both"/>
        <w:rPr>
          <w:u w:val="single"/>
        </w:rPr>
      </w:pPr>
      <w:hyperlink r:id="rId10" w:tgtFrame="_blank" w:history="1">
        <w:r w:rsidR="00F049BD" w:rsidRPr="00F049BD">
          <w:rPr>
            <w:rStyle w:val="a3"/>
            <w:rFonts w:ascii="PT Astra Serif" w:hAnsi="PT Astra Serif"/>
            <w:sz w:val="28"/>
            <w:szCs w:val="28"/>
            <w:u w:val="single"/>
            <w:shd w:val="clear" w:color="auto" w:fill="FFFFFF"/>
          </w:rPr>
          <w:t>https://ulgov.ru/экономика/orv/publ-consult-orv/</w:t>
        </w:r>
      </w:hyperlink>
    </w:p>
    <w:p w:rsidR="00F049BD" w:rsidRDefault="00F049BD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830F4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E830F4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хозяйства и строительства</w:t>
      </w:r>
    </w:p>
    <w:p w:rsidR="00FB715F" w:rsidRDefault="00E830F4" w:rsidP="00E830F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</w:t>
      </w:r>
      <w:r w:rsidR="00D0599C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Р.Н.Хайрудинов</w:t>
      </w:r>
      <w:proofErr w:type="spellEnd"/>
      <w:r w:rsidR="00FB715F" w:rsidRPr="00F52B7A"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FB715F" w:rsidRPr="00F52B7A">
        <w:rPr>
          <w:rFonts w:ascii="PT Astra Serif" w:hAnsi="PT Astra Serif"/>
          <w:sz w:val="28"/>
          <w:szCs w:val="28"/>
        </w:rPr>
        <w:t>_______ ____________</w:t>
      </w:r>
    </w:p>
    <w:p w:rsidR="00E830F4" w:rsidRPr="00F52B7A" w:rsidRDefault="00E830F4" w:rsidP="00E830F4">
      <w:pPr>
        <w:pStyle w:val="ConsPlusNonformat"/>
        <w:tabs>
          <w:tab w:val="left" w:pos="7230"/>
        </w:tabs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D0599C">
        <w:rPr>
          <w:rFonts w:ascii="PT Astra Serif" w:hAnsi="PT Astra Serif"/>
          <w:sz w:val="22"/>
        </w:rPr>
        <w:t xml:space="preserve">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3" w:name="P597"/>
      <w:bookmarkEnd w:id="3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301923" w:rsidRDefault="00301923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301923" w:rsidRDefault="00301923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301923" w:rsidRDefault="00301923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301923" w:rsidRDefault="00301923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301923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15C7F" w:rsidRDefault="00C15C7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E830F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bookmarkStart w:id="4" w:name="_GoBack"/>
      <w:bookmarkEnd w:id="4"/>
      <w:r>
        <w:rPr>
          <w:rFonts w:ascii="PT Astra Serif" w:hAnsi="PT Astra Serif"/>
          <w:sz w:val="28"/>
          <w:szCs w:val="28"/>
        </w:rPr>
        <w:lastRenderedPageBreak/>
        <w:t>П</w:t>
      </w:r>
      <w:r w:rsidR="00FB715F" w:rsidRPr="00F52B7A">
        <w:rPr>
          <w:rFonts w:ascii="PT Astra Serif" w:hAnsi="PT Astra Serif"/>
          <w:sz w:val="28"/>
          <w:szCs w:val="28"/>
        </w:rPr>
        <w:t>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830F4" w:rsidRDefault="00FB715F" w:rsidP="00E830F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Наименование нормативного правового акта (далее - акт) </w:t>
      </w:r>
    </w:p>
    <w:p w:rsidR="00C15C7F" w:rsidRPr="007F20B6" w:rsidRDefault="00C15C7F" w:rsidP="00C1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</w:t>
      </w:r>
      <w:r w:rsidRPr="00824EF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роект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</w:t>
      </w:r>
      <w:r w:rsidRPr="00C13582">
        <w:rPr>
          <w:rFonts w:ascii="PT Astra Serif" w:hAnsi="PT Astra Serif"/>
          <w:bCs/>
          <w:sz w:val="28"/>
          <w:szCs w:val="28"/>
        </w:rPr>
        <w:t xml:space="preserve"> Ульяновской области </w:t>
      </w:r>
      <w:r w:rsidRPr="007F20B6">
        <w:rPr>
          <w:rFonts w:ascii="PT Astra Serif" w:hAnsi="PT Astra Serif"/>
          <w:bCs/>
          <w:sz w:val="28"/>
          <w:szCs w:val="28"/>
        </w:rPr>
        <w:t>«</w:t>
      </w:r>
      <w:r w:rsidRPr="007F20B6">
        <w:rPr>
          <w:rFonts w:ascii="PT Astra Serif" w:hAnsi="PT Astra Serif"/>
          <w:sz w:val="28"/>
          <w:szCs w:val="28"/>
        </w:rPr>
        <w:t xml:space="preserve">Об утверждении 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7F20B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</w:t>
      </w:r>
      <w:r w:rsidRPr="007F20B6">
        <w:rPr>
          <w:rFonts w:ascii="PT Astra Serif" w:hAnsi="PT Astra Serif"/>
          <w:bCs/>
          <w:szCs w:val="28"/>
        </w:rPr>
        <w:t>»</w:t>
      </w:r>
      <w:r w:rsidRPr="007F20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с __ </w:t>
      </w:r>
      <w:r w:rsidR="00615870">
        <w:rPr>
          <w:rFonts w:ascii="PT Astra Serif" w:hAnsi="PT Astra Serif"/>
          <w:sz w:val="28"/>
          <w:szCs w:val="28"/>
        </w:rPr>
        <w:t>по</w:t>
      </w:r>
      <w:r w:rsidR="00615870" w:rsidRPr="00615870">
        <w:rPr>
          <w:rFonts w:ascii="PT Astra Serif" w:hAnsi="PT Astra Serif"/>
          <w:sz w:val="28"/>
          <w:szCs w:val="28"/>
        </w:rPr>
        <w:t>___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F52B7A" w:rsidRDefault="00FB715F" w:rsidP="00963F8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642"/>
      <w:bookmarkEnd w:id="5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53229"/>
    <w:rsid w:val="00167D62"/>
    <w:rsid w:val="001834D3"/>
    <w:rsid w:val="0023149D"/>
    <w:rsid w:val="00241961"/>
    <w:rsid w:val="00272C23"/>
    <w:rsid w:val="0028551C"/>
    <w:rsid w:val="00301923"/>
    <w:rsid w:val="003049DF"/>
    <w:rsid w:val="0034241B"/>
    <w:rsid w:val="003C0076"/>
    <w:rsid w:val="003C4A01"/>
    <w:rsid w:val="00475589"/>
    <w:rsid w:val="00496D25"/>
    <w:rsid w:val="005B2C3A"/>
    <w:rsid w:val="00615870"/>
    <w:rsid w:val="00623955"/>
    <w:rsid w:val="006C5D25"/>
    <w:rsid w:val="007F20B6"/>
    <w:rsid w:val="008349CD"/>
    <w:rsid w:val="00840681"/>
    <w:rsid w:val="008D5162"/>
    <w:rsid w:val="00963F89"/>
    <w:rsid w:val="00A33CA5"/>
    <w:rsid w:val="00A77117"/>
    <w:rsid w:val="00AD4915"/>
    <w:rsid w:val="00B53168"/>
    <w:rsid w:val="00BA2FE2"/>
    <w:rsid w:val="00C04E5C"/>
    <w:rsid w:val="00C15C7F"/>
    <w:rsid w:val="00C47651"/>
    <w:rsid w:val="00D0599C"/>
    <w:rsid w:val="00E82E60"/>
    <w:rsid w:val="00E830F4"/>
    <w:rsid w:val="00EF4E16"/>
    <w:rsid w:val="00F049BD"/>
    <w:rsid w:val="00F52B7A"/>
    <w:rsid w:val="00FB715F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qFormat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053229"/>
    <w:rPr>
      <w:color w:val="2060A4"/>
      <w:u w:val="none"/>
    </w:rPr>
  </w:style>
  <w:style w:type="paragraph" w:customStyle="1" w:styleId="s3">
    <w:name w:val="s_3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qFormat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053229"/>
    <w:rPr>
      <w:color w:val="2060A4"/>
      <w:u w:val="none"/>
    </w:rPr>
  </w:style>
  <w:style w:type="paragraph" w:customStyle="1" w:styleId="s3">
    <w:name w:val="s_3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lgov.ru/%D1%8D%D0%BA%D0%BE%D0%BD%D0%BE%D0%BC%D0%B8%D0%BA%D0%B0/orv/publ-consult-orv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8AEF-BAC5-423B-8B00-CE6C19CB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4718</Words>
  <Characters>26895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2025-03-20T12:23:00Z</cp:lastPrinted>
  <dcterms:created xsi:type="dcterms:W3CDTF">2025-05-30T08:20:00Z</dcterms:created>
  <dcterms:modified xsi:type="dcterms:W3CDTF">2025-05-30T08:20:00Z</dcterms:modified>
</cp:coreProperties>
</file>