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Государственный орган Ульяновской области (должностное лицо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Pr="00F52B7A" w:rsidRDefault="0028737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 xml:space="preserve">____ 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</w:rPr>
        <w:t>Е.Е.Сидорова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, министр.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</w:t>
      </w:r>
      <w:r w:rsidR="00FB715F" w:rsidRPr="00F52B7A">
        <w:rPr>
          <w:rFonts w:ascii="PT Astra Serif" w:hAnsi="PT Astra Serif"/>
          <w:sz w:val="28"/>
          <w:szCs w:val="28"/>
        </w:rPr>
        <w:t>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):</w:t>
      </w:r>
      <w:r w:rsidR="00287376" w:rsidRPr="0028737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</w:t>
      </w:r>
      <w:r w:rsidR="0028737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проект постановлени</w:t>
      </w:r>
      <w:r w:rsidR="0028737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я</w:t>
      </w:r>
      <w:r w:rsidR="0028737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Правительства Ульяновской области </w:t>
      </w:r>
      <w:r w:rsidR="00287376" w:rsidRPr="00A0510F">
        <w:rPr>
          <w:rFonts w:ascii="PT Astra Serif" w:eastAsia="Times New Roman" w:hAnsi="PT Astra Serif" w:cs="Times New Roman"/>
          <w:sz w:val="28"/>
          <w:szCs w:val="28"/>
          <w:u w:val="single"/>
        </w:rPr>
        <w:t>«</w:t>
      </w:r>
      <w:bookmarkStart w:id="1" w:name="_Hlk162440274"/>
      <w:r w:rsidR="00287376" w:rsidRPr="00A0510F">
        <w:rPr>
          <w:rFonts w:ascii="PT Astra Serif" w:eastAsia="Times New Roman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22.09.2021 № 4</w:t>
      </w:r>
      <w:bookmarkEnd w:id="1"/>
      <w:r w:rsidR="00287376">
        <w:rPr>
          <w:rFonts w:ascii="PT Astra Serif" w:eastAsia="Times New Roman" w:hAnsi="PT Astra Serif" w:cs="Times New Roman"/>
          <w:sz w:val="28"/>
          <w:szCs w:val="28"/>
          <w:u w:val="single"/>
        </w:rPr>
        <w:t>40-П»</w:t>
      </w:r>
      <w:r w:rsidR="00ED09B8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Pr="00F52B7A">
        <w:rPr>
          <w:rFonts w:ascii="PT Astra Serif" w:hAnsi="PT Astra Serif"/>
          <w:sz w:val="28"/>
          <w:szCs w:val="28"/>
        </w:rPr>
        <w:t>___________________________________________________________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F52B7A" w:rsidRDefault="00ED09B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предлагаемый к принятию нормативный а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кт вст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упает в силу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на следующий день после дня его официального опубликования.</w:t>
      </w:r>
      <w:r w:rsidR="00FB715F" w:rsidRPr="00F52B7A">
        <w:rPr>
          <w:rFonts w:ascii="PT Astra Serif" w:hAnsi="PT Astra Serif"/>
          <w:sz w:val="28"/>
          <w:szCs w:val="28"/>
        </w:rPr>
        <w:t>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FB715F" w:rsidRPr="00ED09B8" w:rsidRDefault="00ED09B8" w:rsidP="00ED09B8">
      <w:pPr>
        <w:widowControl w:val="0"/>
        <w:autoSpaceDE w:val="0"/>
        <w:autoSpaceDN w:val="0"/>
        <w:adjustRightInd w:val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22.09.2021 № 440-П</w:t>
      </w:r>
      <w:r w:rsidRPr="00BB68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x-none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разработан в целях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приведения в соответствие с требованиями 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с Федеральным законом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bookmarkStart w:id="2" w:name="_Hlk131779079"/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bookmarkEnd w:id="2"/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</w:t>
      </w:r>
      <w:r w:rsidR="00BA2FE2" w:rsidRPr="00F52B7A">
        <w:rPr>
          <w:rFonts w:ascii="PT Astra Serif" w:hAnsi="PT Astra Serif"/>
          <w:sz w:val="28"/>
          <w:szCs w:val="28"/>
        </w:rPr>
        <w:t>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FB715F" w:rsidRPr="00F52B7A" w:rsidRDefault="00ED09B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в целях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приведения в соответствие правового акта с требованиями федерального законодательства,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повышения качества осуществления </w:t>
      </w:r>
      <w:r w:rsidRPr="00B45186">
        <w:rPr>
          <w:rFonts w:ascii="PT Astra Serif" w:eastAsia="Times New Roman" w:hAnsi="PT Astra Serif" w:cs="Times New Roman"/>
          <w:sz w:val="28"/>
          <w:szCs w:val="28"/>
          <w:u w:val="single"/>
        </w:rPr>
        <w:t>контроля (надзора) за со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блюдением законодательства об архивном деле на территории Ульяновской области                           </w:t>
      </w:r>
      <w:r w:rsidR="00FB715F" w:rsidRPr="00F52B7A">
        <w:rPr>
          <w:rFonts w:ascii="PT Astra Serif" w:hAnsi="PT Astra Serif"/>
          <w:sz w:val="28"/>
          <w:szCs w:val="28"/>
        </w:rPr>
        <w:t>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907789" w:rsidRPr="00907789" w:rsidRDefault="00E927AC" w:rsidP="00907789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907789">
        <w:rPr>
          <w:rFonts w:ascii="PT Astra Serif" w:hAnsi="PT Astra Serif"/>
          <w:sz w:val="28"/>
          <w:szCs w:val="28"/>
          <w:u w:val="single"/>
        </w:rPr>
        <w:t xml:space="preserve">проектом постановления Правительства Ульяновской области </w:t>
      </w:r>
      <w:r w:rsidRPr="00907789">
        <w:rPr>
          <w:rFonts w:ascii="PT Astra Serif" w:hAnsi="PT Astra Serif"/>
          <w:sz w:val="28"/>
          <w:szCs w:val="28"/>
          <w:u w:val="single"/>
        </w:rPr>
        <w:br/>
        <w:t xml:space="preserve">«О внесении изменений в постановление Правительства Ульяновской области </w:t>
      </w:r>
      <w:r w:rsidRPr="00907789">
        <w:rPr>
          <w:rFonts w:ascii="PT Astra Serif" w:hAnsi="PT Astra Serif"/>
          <w:sz w:val="28"/>
          <w:szCs w:val="28"/>
          <w:u w:val="single"/>
        </w:rPr>
        <w:br/>
        <w:t>от 22.09.2021 № 440-П» вносятся изменения в положение о региональном государственном контроле (надзоре) за соблюдением законодательства об архивном деле на территории Ульяновской области, которые повысят качество, информированность об отнесении объектов контроля</w:t>
      </w:r>
      <w:r w:rsidR="00907789" w:rsidRPr="00907789">
        <w:rPr>
          <w:rFonts w:ascii="PT Astra Serif" w:hAnsi="PT Astra Serif"/>
          <w:sz w:val="28"/>
          <w:szCs w:val="28"/>
          <w:u w:val="single"/>
        </w:rPr>
        <w:t xml:space="preserve"> к категории риска</w:t>
      </w:r>
      <w:r w:rsidRPr="00907789">
        <w:rPr>
          <w:rFonts w:ascii="PT Astra Serif" w:hAnsi="PT Astra Serif"/>
          <w:sz w:val="28"/>
          <w:szCs w:val="28"/>
          <w:u w:val="single"/>
        </w:rPr>
        <w:t>,</w:t>
      </w:r>
      <w:r w:rsidR="00907789" w:rsidRPr="00907789">
        <w:rPr>
          <w:rFonts w:ascii="PT Astra Serif" w:hAnsi="PT Astra Serif"/>
          <w:sz w:val="28"/>
          <w:szCs w:val="28"/>
          <w:u w:val="single"/>
        </w:rPr>
        <w:t xml:space="preserve"> </w:t>
      </w:r>
      <w:r w:rsidR="00907789" w:rsidRPr="00907789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проведении профилактических мероприятиях, порядке п</w:t>
      </w:r>
      <w:r w:rsidR="00907789" w:rsidRPr="00907789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роект предусматривает, </w:t>
      </w:r>
      <w:r w:rsidR="00907789">
        <w:rPr>
          <w:rFonts w:ascii="PT Astra Serif" w:hAnsi="PT Astra Serif"/>
          <w:sz w:val="28"/>
          <w:szCs w:val="28"/>
          <w:u w:val="single"/>
        </w:rPr>
        <w:t xml:space="preserve">об </w:t>
      </w:r>
      <w:r w:rsidR="00907789" w:rsidRPr="00907789">
        <w:rPr>
          <w:rFonts w:ascii="PT Astra Serif" w:hAnsi="PT Astra Serif"/>
          <w:sz w:val="28"/>
          <w:szCs w:val="28"/>
          <w:u w:val="single"/>
        </w:rPr>
        <w:t>обжаловани</w:t>
      </w:r>
      <w:r w:rsidR="00907789">
        <w:rPr>
          <w:rFonts w:ascii="PT Astra Serif" w:hAnsi="PT Astra Serif"/>
          <w:sz w:val="28"/>
          <w:szCs w:val="28"/>
          <w:u w:val="single"/>
        </w:rPr>
        <w:t>и</w:t>
      </w:r>
      <w:r w:rsidR="00907789" w:rsidRPr="00907789">
        <w:rPr>
          <w:rFonts w:ascii="PT Astra Serif" w:hAnsi="PT Astra Serif"/>
          <w:sz w:val="28"/>
          <w:szCs w:val="28"/>
          <w:u w:val="single"/>
        </w:rPr>
        <w:t xml:space="preserve"> решений Министерства, а также действий (бездействия) его должностных лиц.</w:t>
      </w:r>
      <w:bookmarkStart w:id="3" w:name="_Hlk164868352"/>
      <w:r w:rsidR="00907789">
        <w:rPr>
          <w:rFonts w:ascii="PT Astra Serif" w:hAnsi="PT Astra Serif"/>
          <w:sz w:val="28"/>
          <w:szCs w:val="28"/>
          <w:u w:val="single"/>
        </w:rPr>
        <w:t xml:space="preserve"> </w:t>
      </w:r>
      <w:r w:rsidR="00226547">
        <w:rPr>
          <w:rFonts w:ascii="PT Astra Serif" w:hAnsi="PT Astra Serif"/>
          <w:sz w:val="28"/>
          <w:szCs w:val="28"/>
          <w:u w:val="single"/>
        </w:rPr>
        <w:t>П</w:t>
      </w:r>
      <w:r w:rsidRPr="00907789">
        <w:rPr>
          <w:rFonts w:ascii="PT Astra Serif" w:hAnsi="PT Astra Serif"/>
          <w:sz w:val="28"/>
          <w:szCs w:val="28"/>
          <w:u w:val="single"/>
        </w:rPr>
        <w:t xml:space="preserve">риведение в соответствие </w:t>
      </w:r>
      <w:r w:rsidR="00907789" w:rsidRPr="00907789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07789" w:rsidRPr="00907789">
        <w:rPr>
          <w:rFonts w:ascii="PT Astra Serif" w:hAnsi="PT Astra Serif"/>
          <w:sz w:val="28"/>
          <w:szCs w:val="28"/>
          <w:u w:val="single"/>
        </w:rPr>
        <w:lastRenderedPageBreak/>
        <w:t>требованиями</w:t>
      </w:r>
      <w:r w:rsidRPr="00907789">
        <w:rPr>
          <w:rFonts w:ascii="PT Astra Serif" w:hAnsi="PT Astra Serif"/>
          <w:sz w:val="28"/>
          <w:szCs w:val="28"/>
          <w:u w:val="single"/>
        </w:rPr>
        <w:t xml:space="preserve"> Федерального закона № 248-ФЗ, </w:t>
      </w:r>
      <w:r w:rsidR="00907789" w:rsidRPr="00907789">
        <w:rPr>
          <w:rFonts w:ascii="PT Astra Serif" w:hAnsi="PT Astra Serif"/>
          <w:sz w:val="28"/>
          <w:szCs w:val="28"/>
          <w:u w:val="single"/>
        </w:rPr>
        <w:t xml:space="preserve">   В разделов положения о контроле (надзоре): управление рисками причинения вреда (ущерба) охраняемым законом ценностям при осуществлении регионального государственного контроля; профилактика рисков причинения вреда (ущерба) охраняемым законом ценностям; осуществление регионального государственного контроля (надзора); результаты контрольного (надзорного) мероприятия; обжалование решений Министерства, а также действий (бездействия) его должностных лиц.</w:t>
      </w:r>
    </w:p>
    <w:bookmarkEnd w:id="3"/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начало: </w:t>
      </w:r>
      <w:r w:rsidR="00304728" w:rsidRPr="00304728">
        <w:rPr>
          <w:rFonts w:ascii="PT Astra Serif" w:hAnsi="PT Astra Serif"/>
          <w:sz w:val="28"/>
          <w:szCs w:val="28"/>
          <w:u w:val="single"/>
        </w:rPr>
        <w:t>19.03.</w:t>
      </w:r>
      <w:r w:rsidRPr="00304728">
        <w:rPr>
          <w:rFonts w:ascii="PT Astra Serif" w:hAnsi="PT Astra Serif"/>
          <w:sz w:val="28"/>
          <w:szCs w:val="28"/>
          <w:u w:val="single"/>
        </w:rPr>
        <w:t>20</w:t>
      </w:r>
      <w:r w:rsidR="00304728" w:rsidRPr="00304728">
        <w:rPr>
          <w:rFonts w:ascii="PT Astra Serif" w:hAnsi="PT Astra Serif"/>
          <w:sz w:val="28"/>
          <w:szCs w:val="28"/>
          <w:u w:val="single"/>
        </w:rPr>
        <w:t>25</w:t>
      </w:r>
      <w:r w:rsidRPr="00F52B7A">
        <w:rPr>
          <w:rFonts w:ascii="PT Astra Serif" w:hAnsi="PT Astra Serif"/>
          <w:sz w:val="28"/>
          <w:szCs w:val="28"/>
        </w:rPr>
        <w:t xml:space="preserve"> г.; окончание: </w:t>
      </w:r>
      <w:r w:rsidR="00304728" w:rsidRPr="00304728">
        <w:rPr>
          <w:rFonts w:ascii="PT Astra Serif" w:hAnsi="PT Astra Serif"/>
          <w:sz w:val="28"/>
          <w:szCs w:val="28"/>
          <w:u w:val="single"/>
        </w:rPr>
        <w:t>28.03.2025</w:t>
      </w:r>
      <w:r w:rsidR="00304728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</w:t>
      </w:r>
      <w:r w:rsidR="00304728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</w:t>
      </w:r>
      <w:r w:rsidR="00287376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частично: ___</w:t>
      </w:r>
      <w:r w:rsidR="00287376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proofErr w:type="spellStart"/>
      <w:r w:rsidR="00E927AC" w:rsidRPr="00E927AC">
        <w:rPr>
          <w:rFonts w:ascii="PT Astra Serif" w:hAnsi="PT Astra Serif"/>
          <w:sz w:val="28"/>
          <w:szCs w:val="28"/>
          <w:u w:val="single"/>
        </w:rPr>
        <w:t>Ждыханова</w:t>
      </w:r>
      <w:proofErr w:type="spellEnd"/>
      <w:r w:rsidR="00E927AC" w:rsidRPr="00E927AC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E927AC" w:rsidRPr="00E927AC">
        <w:rPr>
          <w:rFonts w:ascii="PT Astra Serif" w:hAnsi="PT Astra Serif"/>
          <w:sz w:val="28"/>
          <w:szCs w:val="28"/>
          <w:u w:val="single"/>
        </w:rPr>
        <w:t>Гузэллия</w:t>
      </w:r>
      <w:proofErr w:type="spellEnd"/>
      <w:r w:rsidR="00E927AC" w:rsidRPr="00E927AC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E927AC" w:rsidRPr="00E927AC">
        <w:rPr>
          <w:rFonts w:ascii="PT Astra Serif" w:hAnsi="PT Astra Serif"/>
          <w:sz w:val="28"/>
          <w:szCs w:val="28"/>
          <w:u w:val="single"/>
        </w:rPr>
        <w:t>Абдрашитовна</w:t>
      </w:r>
      <w:proofErr w:type="spellEnd"/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</w:p>
    <w:p w:rsidR="00E927AC" w:rsidRPr="00E927AC" w:rsidRDefault="00FB715F" w:rsidP="00E927A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E927AC" w:rsidRPr="00E927AC">
        <w:rPr>
          <w:rFonts w:ascii="PT Astra Serif" w:hAnsi="PT Astra Serif"/>
          <w:sz w:val="28"/>
          <w:szCs w:val="28"/>
          <w:u w:val="single"/>
        </w:rPr>
        <w:t xml:space="preserve">начальник 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отдела по делам архивов, департамента культурной политики.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E927AC" w:rsidRPr="00E927AC">
        <w:rPr>
          <w:rFonts w:ascii="PT Astra Serif" w:hAnsi="PT Astra Serif"/>
          <w:sz w:val="28"/>
          <w:szCs w:val="28"/>
          <w:u w:val="single"/>
        </w:rPr>
        <w:t>8 (8422) 73 70 45,</w:t>
      </w:r>
      <w:r w:rsidR="00BA2FE2" w:rsidRPr="00F52B7A">
        <w:rPr>
          <w:rFonts w:ascii="PT Astra Serif" w:hAnsi="PT Astra Serif"/>
          <w:sz w:val="28"/>
          <w:szCs w:val="28"/>
        </w:rPr>
        <w:t>___________________</w:t>
      </w:r>
    </w:p>
    <w:p w:rsidR="00FB715F" w:rsidRPr="00E927AC" w:rsidRDefault="00FB715F" w:rsidP="00E927A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proofErr w:type="spellStart"/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arhiv</w:t>
      </w:r>
      <w:proofErr w:type="spellEnd"/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proofErr w:type="spellStart"/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ulmincult</w:t>
      </w:r>
      <w:proofErr w:type="spellEnd"/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E927A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BA2FE2" w:rsidRPr="00F52B7A">
        <w:rPr>
          <w:rFonts w:ascii="PT Astra Serif" w:hAnsi="PT Astra Serif"/>
          <w:sz w:val="28"/>
          <w:szCs w:val="28"/>
        </w:rPr>
        <w:t>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5B2C3A" w:rsidRDefault="00FB715F" w:rsidP="00E927A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возникающих в связи с наличием рассматриваемой проблемы 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FB715F" w:rsidRPr="00F52B7A" w:rsidRDefault="00E927A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положение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, утверждённое постановлением Правительства Ульяновской области от 2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2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.09.2021 № 44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0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-П,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не соответствует требованиям федерального законодательства.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E927A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в случае не внесения необходимых поправок в 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положение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, утверждённое постановлением Правительства Ульяновской области от 2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2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.09.2021 № 44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0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-П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,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lastRenderedPageBreak/>
        <w:t xml:space="preserve">проведение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контрольных (надзорных) мероприятий, профилактических мероприятий в отношении объектов контроля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будет невозможно, что в свою очередь может привести к негативным последствиям в виде утраты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Архив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ного фонда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Российской Федерации, образующихся в деятельности вышеуказанных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объектов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FB715F" w:rsidRPr="00F52B7A" w:rsidRDefault="001331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н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еобходимость принятия проекта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постановления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обусловлена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не соответствием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федерально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му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законодательств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у о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в связи с внесением в него изменений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, что противоречит требованиям действующего законодательства_</w:t>
      </w:r>
      <w:r w:rsidR="00FB715F" w:rsidRPr="00F52B7A">
        <w:rPr>
          <w:rFonts w:ascii="PT Astra Serif" w:hAnsi="PT Astra Serif"/>
          <w:sz w:val="28"/>
          <w:szCs w:val="28"/>
        </w:rPr>
        <w:t>__</w:t>
      </w:r>
      <w:r w:rsidR="00BA2FE2"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F52B7A" w:rsidRDefault="00C36BCE" w:rsidP="00C36BC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</w:t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соответствии с ч.2 ст.3 Федерального закона от 31.07.2020 № 248-ФЗ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Pr="00482D60">
        <w:rPr>
          <w:rFonts w:ascii="PT Astra Serif" w:hAnsi="PT Astra Serif" w:cs="PT Astra Serif"/>
          <w:sz w:val="28"/>
          <w:szCs w:val="28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F52B7A" w:rsidRDefault="00C36BC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4" w:name="_Hlk131779511"/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</w:t>
      </w:r>
      <w:bookmarkEnd w:id="4"/>
      <w:r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="00BA2FE2" w:rsidRPr="00F52B7A">
        <w:rPr>
          <w:rFonts w:ascii="PT Astra Serif" w:hAnsi="PT Astra Serif"/>
          <w:sz w:val="28"/>
          <w:szCs w:val="28"/>
        </w:rPr>
        <w:t>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F52B7A" w:rsidRDefault="00C36BC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26C5">
        <w:rPr>
          <w:rFonts w:ascii="PT Astra Serif" w:hAnsi="PT Astra Serif"/>
          <w:sz w:val="28"/>
          <w:szCs w:val="28"/>
          <w:u w:val="single"/>
        </w:rPr>
        <w:t>нет.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26C5" w:rsidRPr="001160CD" w:rsidRDefault="005326C5" w:rsidP="005326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</w:p>
    <w:p w:rsidR="005326C5" w:rsidRPr="00412EF6" w:rsidRDefault="005326C5" w:rsidP="005326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Опыт субъектов РФ в соответствующей сфере: </w:t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 наличии несоответствия требованиям федерального законодательства положения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субъектов РФ также подлежат приведению в соответствие.</w:t>
      </w:r>
    </w:p>
    <w:p w:rsidR="005326C5" w:rsidRPr="001160CD" w:rsidRDefault="005326C5" w:rsidP="005326C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5" w:name="P298"/>
      <w:bookmarkEnd w:id="5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5326C5" w:rsidRDefault="005326C5" w:rsidP="005326C5">
      <w:pPr>
        <w:pStyle w:val="ConsPlusNonformat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</w:pP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»;</w:t>
      </w:r>
      <w:r w:rsidRPr="005326C5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______________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                           </w:t>
      </w:r>
    </w:p>
    <w:p w:rsidR="00FB715F" w:rsidRPr="0023149D" w:rsidRDefault="00FB715F" w:rsidP="005326C5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lastRenderedPageBreak/>
        <w:t>указывается нормативный правовой акт большей юридической силы либо</w:t>
      </w:r>
      <w:r w:rsidR="005326C5">
        <w:rPr>
          <w:rFonts w:ascii="PT Astra Serif" w:hAnsi="PT Astra Serif"/>
          <w:sz w:val="22"/>
        </w:rPr>
        <w:t xml:space="preserve"> </w:t>
      </w: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5326C5" w:rsidRPr="00F52B7A" w:rsidTr="005326C5">
        <w:tc>
          <w:tcPr>
            <w:tcW w:w="3118" w:type="dxa"/>
          </w:tcPr>
          <w:p w:rsidR="005326C5" w:rsidRPr="00F52B7A" w:rsidRDefault="005326C5" w:rsidP="005326C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2EF6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 xml:space="preserve">Осуществление регионального государственного контроля (надзора) </w:t>
            </w:r>
            <w:r w:rsidRPr="00412EF6">
              <w:rPr>
                <w:rFonts w:ascii="PT Astra Serif" w:hAnsi="PT Astra Serif"/>
                <w:color w:val="000000"/>
                <w:sz w:val="26"/>
                <w:szCs w:val="26"/>
              </w:rPr>
              <w:t>за соблюдением законодательства об архивном деле на территории Ульяновской области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в соответствии с требованиями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Ф</w:t>
            </w:r>
            <w:r w:rsidRPr="008558AE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едерального закона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11" w:type="dxa"/>
          </w:tcPr>
          <w:p w:rsidR="005326C5" w:rsidRPr="001160CD" w:rsidRDefault="005326C5" w:rsidP="00532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31" w:type="dxa"/>
          </w:tcPr>
          <w:p w:rsidR="005326C5" w:rsidRPr="008558AE" w:rsidRDefault="005326C5" w:rsidP="005326C5">
            <w:pPr>
              <w:pStyle w:val="a3"/>
              <w:tabs>
                <w:tab w:val="left" w:pos="263"/>
                <w:tab w:val="left" w:pos="489"/>
              </w:tabs>
              <w:spacing w:line="240" w:lineRule="auto"/>
              <w:ind w:left="61"/>
              <w:jc w:val="center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6"/>
                <w:szCs w:val="26"/>
                <w:lang w:eastAsia="ru-RU"/>
              </w:rPr>
              <w:t>Соответствие действующего положения о региональном государственном контроле (надзоре) за соблюдением законодательства об архивном деле на территории Ульяновской области, утверждённого постановлением правительства Ульяновской области от 22.09.2021 № 440-П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требованиям </w:t>
            </w:r>
            <w:r w:rsidRPr="008558AE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Федерального закона </w:t>
            </w:r>
            <w:r w:rsidRPr="008558AE">
              <w:rPr>
                <w:rFonts w:ascii="PT Astra Serif" w:eastAsia="Times New Roman" w:hAnsi="PT Astra Serif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5326C5" w:rsidRPr="001160CD" w:rsidRDefault="005326C5" w:rsidP="00532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Отсутствие противоречий федеральному законодательству – постоянно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911EF2" w:rsidRPr="00911EF2" w:rsidRDefault="00911EF2" w:rsidP="00911EF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принятие </w:t>
      </w:r>
      <w:r w:rsidRP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проекта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  <w:t>«</w:t>
      </w:r>
      <w:r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 внесении изменений в постановление 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</w:t>
      </w:r>
      <w:r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 22.09.2021 № 440-П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» обусловлено требованием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и иные нормативные правовые акты субъектов Российской Федерации не должны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FB715F" w:rsidRPr="00F52B7A" w:rsidRDefault="00911EF2" w:rsidP="00D5739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D57395">
        <w:rPr>
          <w:rFonts w:ascii="PT Astra Serif" w:eastAsia="Times New Roman" w:hAnsi="PT Astra Serif"/>
          <w:sz w:val="28"/>
          <w:szCs w:val="28"/>
          <w:u w:val="single"/>
        </w:rPr>
        <w:t>Проект</w:t>
      </w:r>
      <w:r w:rsidR="0012630C">
        <w:rPr>
          <w:rFonts w:ascii="PT Astra Serif" w:eastAsia="Times New Roman" w:hAnsi="PT Astra Serif"/>
          <w:sz w:val="28"/>
          <w:szCs w:val="28"/>
          <w:u w:val="single"/>
        </w:rPr>
        <w:t>ом предусматривается изменение  категории риска по средствам подачи контролируемым лицом в контрольный надзорный орган в том числе с использованием ФГИС «ЕПГУ»</w:t>
      </w:r>
      <w:r w:rsidRPr="00D57395">
        <w:rPr>
          <w:rFonts w:ascii="PT Astra Serif" w:eastAsia="Times New Roman" w:hAnsi="PT Astra Serif"/>
          <w:sz w:val="28"/>
          <w:szCs w:val="28"/>
          <w:u w:val="single"/>
        </w:rPr>
        <w:t xml:space="preserve">; </w:t>
      </w:r>
      <w:r w:rsidR="0012630C">
        <w:rPr>
          <w:rFonts w:ascii="PT Astra Serif" w:eastAsia="Times New Roman" w:hAnsi="PT Astra Serif"/>
          <w:sz w:val="28"/>
          <w:szCs w:val="28"/>
          <w:u w:val="single"/>
        </w:rPr>
        <w:t>периодичность проведения обязательных профилактических визитов</w:t>
      </w:r>
      <w:r w:rsidR="003766C2">
        <w:rPr>
          <w:rFonts w:ascii="PT Astra Serif" w:eastAsia="Times New Roman" w:hAnsi="PT Astra Serif"/>
          <w:sz w:val="28"/>
          <w:szCs w:val="28"/>
          <w:u w:val="single"/>
        </w:rPr>
        <w:t xml:space="preserve"> для объектов контроля отнесённых к категориям </w:t>
      </w:r>
      <w:r w:rsidR="003766C2">
        <w:rPr>
          <w:rFonts w:ascii="PT Astra Serif" w:eastAsia="Times New Roman" w:hAnsi="PT Astra Serif"/>
          <w:sz w:val="28"/>
          <w:szCs w:val="28"/>
          <w:u w:val="single"/>
        </w:rPr>
        <w:lastRenderedPageBreak/>
        <w:t xml:space="preserve">значительного, среднего и умеренного риска; форма проведения, способы, </w:t>
      </w:r>
      <w:r w:rsidR="009549B1">
        <w:rPr>
          <w:rFonts w:ascii="PT Astra Serif" w:eastAsia="Times New Roman" w:hAnsi="PT Astra Serif"/>
          <w:sz w:val="28"/>
          <w:szCs w:val="28"/>
          <w:u w:val="single"/>
        </w:rPr>
        <w:t xml:space="preserve">сроки, </w:t>
      </w:r>
      <w:r w:rsidR="003766C2">
        <w:rPr>
          <w:rFonts w:ascii="PT Astra Serif" w:eastAsia="Times New Roman" w:hAnsi="PT Astra Serif"/>
          <w:sz w:val="28"/>
          <w:szCs w:val="28"/>
          <w:u w:val="single"/>
        </w:rPr>
        <w:t xml:space="preserve">порядок </w:t>
      </w:r>
      <w:r w:rsidR="009549B1">
        <w:rPr>
          <w:rFonts w:ascii="PT Astra Serif" w:eastAsia="Times New Roman" w:hAnsi="PT Astra Serif"/>
          <w:sz w:val="28"/>
          <w:szCs w:val="28"/>
          <w:u w:val="single"/>
        </w:rPr>
        <w:t>проведения</w:t>
      </w:r>
      <w:r w:rsidR="003766C2">
        <w:rPr>
          <w:rFonts w:ascii="PT Astra Serif" w:eastAsia="Times New Roman" w:hAnsi="PT Astra Serif"/>
          <w:sz w:val="28"/>
          <w:szCs w:val="28"/>
          <w:u w:val="single"/>
        </w:rPr>
        <w:t xml:space="preserve"> профилактического визита</w:t>
      </w:r>
      <w:r w:rsidR="009549B1">
        <w:rPr>
          <w:rFonts w:ascii="PT Astra Serif" w:eastAsia="Times New Roman" w:hAnsi="PT Astra Serif"/>
          <w:sz w:val="28"/>
          <w:szCs w:val="28"/>
          <w:u w:val="single"/>
        </w:rPr>
        <w:t xml:space="preserve"> и </w:t>
      </w:r>
      <w:r w:rsidR="003766C2">
        <w:rPr>
          <w:rFonts w:ascii="PT Astra Serif" w:eastAsia="Times New Roman" w:hAnsi="PT Astra Serif"/>
          <w:sz w:val="28"/>
          <w:szCs w:val="28"/>
          <w:u w:val="single"/>
        </w:rPr>
        <w:t>обязательного профилактического визита; дополняются критерии добросовестности;  основания для проведения внеплановых контрольных (надзорных</w:t>
      </w:r>
      <w:r w:rsidR="00DD71CC">
        <w:rPr>
          <w:rFonts w:ascii="PT Astra Serif" w:eastAsia="Times New Roman" w:hAnsi="PT Astra Serif"/>
          <w:sz w:val="28"/>
          <w:szCs w:val="28"/>
          <w:u w:val="single"/>
        </w:rPr>
        <w:t>)</w:t>
      </w:r>
      <w:r w:rsidR="003766C2">
        <w:rPr>
          <w:rFonts w:ascii="PT Astra Serif" w:eastAsia="Times New Roman" w:hAnsi="PT Astra Serif"/>
          <w:sz w:val="28"/>
          <w:szCs w:val="28"/>
          <w:u w:val="single"/>
        </w:rPr>
        <w:t xml:space="preserve"> мероприятий</w:t>
      </w:r>
      <w:r w:rsidR="00DD71CC">
        <w:rPr>
          <w:rFonts w:ascii="PT Astra Serif" w:eastAsia="Times New Roman" w:hAnsi="PT Astra Serif"/>
          <w:sz w:val="28"/>
          <w:szCs w:val="28"/>
          <w:u w:val="single"/>
        </w:rPr>
        <w:t xml:space="preserve">; </w:t>
      </w:r>
      <w:r w:rsidRPr="00D57395">
        <w:rPr>
          <w:rFonts w:ascii="PT Astra Serif" w:eastAsia="Times New Roman" w:hAnsi="PT Astra Serif"/>
          <w:sz w:val="28"/>
          <w:szCs w:val="28"/>
          <w:u w:val="single"/>
        </w:rPr>
        <w:t xml:space="preserve">проектом </w:t>
      </w:r>
      <w:r w:rsidRPr="00D5739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предусматривается возможность </w:t>
      </w:r>
      <w:r w:rsidR="00DD71CC">
        <w:rPr>
          <w:rFonts w:ascii="PT Astra Serif" w:hAnsi="PT Astra Serif"/>
          <w:color w:val="000000" w:themeColor="text1"/>
          <w:sz w:val="28"/>
          <w:szCs w:val="28"/>
          <w:u w:val="single"/>
        </w:rPr>
        <w:t>использования средств дистанционного</w:t>
      </w:r>
      <w:r w:rsidR="0050463A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взаимодействия (ВКС, мобильное приложение «Инспектор»)</w:t>
      </w:r>
      <w:r w:rsidRPr="00D5739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; </w:t>
      </w:r>
      <w:r w:rsidR="0050463A">
        <w:rPr>
          <w:rFonts w:ascii="PT Astra Serif" w:hAnsi="PT Astra Serif"/>
          <w:color w:val="000000" w:themeColor="text1"/>
          <w:sz w:val="28"/>
          <w:szCs w:val="28"/>
          <w:u w:val="single"/>
        </w:rPr>
        <w:t>проведение внеплановой проверки только по согласованию с Прокуратурой за исключением случаев предусмотренных 248-ФЗ; проектом в результате контрольных (надзорных)</w:t>
      </w:r>
      <w:r w:rsidR="00BE031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мероприятий </w:t>
      </w:r>
      <w:r w:rsidR="0050463A">
        <w:rPr>
          <w:rFonts w:ascii="PT Astra Serif" w:hAnsi="PT Astra Serif"/>
          <w:color w:val="000000" w:themeColor="text1"/>
          <w:sz w:val="28"/>
          <w:szCs w:val="28"/>
          <w:u w:val="single"/>
        </w:rPr>
        <w:t>предусматривается установление срок</w:t>
      </w:r>
      <w:r w:rsidR="00BE031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а, </w:t>
      </w:r>
      <w:r w:rsidR="008846B7">
        <w:rPr>
          <w:rFonts w:ascii="PT Astra Serif" w:hAnsi="PT Astra Serif"/>
          <w:color w:val="000000" w:themeColor="text1"/>
          <w:sz w:val="28"/>
          <w:szCs w:val="28"/>
          <w:u w:val="single"/>
        </w:rPr>
        <w:t>устанавливается</w:t>
      </w:r>
      <w:r w:rsidR="00BE031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выдача предписания об устранении выявленных нарушений обязательных требований при выявлении нарушений обязательных требований не устранены до окончания проведения контрольного (надзорного) мероприятия, обязательного профилактического визита; выдача предписания</w:t>
      </w:r>
      <w:r w:rsidR="001F0D5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</w:t>
      </w:r>
      <w:r w:rsidR="00BE0316">
        <w:rPr>
          <w:rFonts w:ascii="PT Astra Serif" w:hAnsi="PT Astra Serif"/>
          <w:color w:val="000000" w:themeColor="text1"/>
          <w:sz w:val="28"/>
          <w:szCs w:val="28"/>
          <w:u w:val="single"/>
        </w:rPr>
        <w:t>государственным и муниципальным учреждениям;</w:t>
      </w:r>
      <w:r w:rsidR="0050463A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</w:t>
      </w:r>
      <w:r w:rsidR="009549B1">
        <w:rPr>
          <w:rFonts w:ascii="PT Astra Serif" w:hAnsi="PT Astra Serif"/>
          <w:color w:val="000000" w:themeColor="text1"/>
          <w:sz w:val="28"/>
          <w:szCs w:val="28"/>
          <w:u w:val="single"/>
        </w:rPr>
        <w:t>меняется срок рассмотрения жалобы; предусматривается р</w:t>
      </w:r>
      <w:r w:rsidRPr="00D57395">
        <w:rPr>
          <w:rFonts w:ascii="PT Astra Serif" w:hAnsi="PT Astra Serif"/>
          <w:color w:val="000000" w:themeColor="text1"/>
          <w:sz w:val="28"/>
          <w:szCs w:val="28"/>
          <w:u w:val="single"/>
        </w:rPr>
        <w:t>а</w:t>
      </w:r>
      <w:r w:rsidR="009549B1">
        <w:rPr>
          <w:rFonts w:ascii="PT Astra Serif" w:hAnsi="PT Astra Serif"/>
          <w:color w:val="000000" w:themeColor="text1"/>
          <w:sz w:val="28"/>
          <w:szCs w:val="28"/>
          <w:u w:val="single"/>
        </w:rPr>
        <w:t>ссмотрение жалобы на решение об отнесении объекта контроля к соответствующей категории риска</w:t>
      </w:r>
      <w:r w:rsidRPr="00D57395">
        <w:rPr>
          <w:rFonts w:ascii="PT Astra Serif" w:eastAsia="Times New Roman" w:hAnsi="PT Astra Serif"/>
          <w:sz w:val="28"/>
          <w:szCs w:val="28"/>
          <w:u w:val="single"/>
        </w:rPr>
        <w:t>.</w:t>
      </w:r>
      <w:r w:rsidR="009549B1">
        <w:rPr>
          <w:rFonts w:ascii="PT Astra Serif" w:eastAsia="Times New Roman" w:hAnsi="PT Astra Serif"/>
          <w:sz w:val="28"/>
          <w:szCs w:val="28"/>
          <w:u w:val="single"/>
        </w:rPr>
        <w:t xml:space="preserve"> В приложении № 1 к положению в наименовании критерия и его показателей в п. 25 исключается понятие плановые контрольные (надзорные</w:t>
      </w:r>
      <w:r w:rsidR="001F0D5B">
        <w:rPr>
          <w:rFonts w:ascii="PT Astra Serif" w:eastAsia="Times New Roman" w:hAnsi="PT Astra Serif"/>
          <w:sz w:val="28"/>
          <w:szCs w:val="28"/>
          <w:u w:val="single"/>
        </w:rPr>
        <w:t>)</w:t>
      </w:r>
      <w:r w:rsidR="009549B1">
        <w:rPr>
          <w:rFonts w:ascii="PT Astra Serif" w:eastAsia="Times New Roman" w:hAnsi="PT Astra Serif"/>
          <w:sz w:val="28"/>
          <w:szCs w:val="28"/>
          <w:u w:val="single"/>
        </w:rPr>
        <w:t xml:space="preserve"> мероприятия</w:t>
      </w:r>
      <w:r w:rsidR="001F0D5B">
        <w:rPr>
          <w:rFonts w:ascii="PT Astra Serif" w:eastAsia="Times New Roman" w:hAnsi="PT Astra Serif"/>
          <w:sz w:val="28"/>
          <w:szCs w:val="28"/>
          <w:u w:val="single"/>
        </w:rPr>
        <w:t>; В приложении № 3 к положению исключается индикативный показатель «</w:t>
      </w:r>
      <w:r w:rsidR="001F0D5B" w:rsidRPr="001F0D5B">
        <w:rPr>
          <w:rFonts w:ascii="PT Astra Serif" w:eastAsia="Times New Roman" w:hAnsi="PT Astra Serif"/>
          <w:sz w:val="28"/>
          <w:szCs w:val="28"/>
          <w:u w:val="single"/>
        </w:rPr>
        <w:t>Количество плановых контрольных (надзорных) мероприятий, проведенных в течение отчетного периода».</w:t>
      </w:r>
      <w:r w:rsidR="009549B1">
        <w:rPr>
          <w:rFonts w:ascii="PT Astra Serif" w:eastAsia="Times New Roman" w:hAnsi="PT Astra Serif"/>
          <w:sz w:val="28"/>
          <w:szCs w:val="28"/>
          <w:u w:val="single"/>
        </w:rPr>
        <w:t xml:space="preserve">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5C060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C57F60" w:rsidRDefault="00C57F60" w:rsidP="00BA2FE2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иные способы регулирования не предусмотрены законодательством Российской Федерации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FB715F" w:rsidRPr="00F52B7A" w:rsidRDefault="00C57F6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предусмотрено</w:t>
      </w:r>
      <w:r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="00FB715F"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F52B7A" w:rsidRDefault="00C57F6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предусмотрено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" w:name="P338"/>
            <w:bookmarkEnd w:id="6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3464DB" w:rsidRPr="00F52B7A" w:rsidTr="005C0603">
        <w:tc>
          <w:tcPr>
            <w:tcW w:w="3464" w:type="dxa"/>
          </w:tcPr>
          <w:p w:rsidR="003464DB" w:rsidRPr="00BB683D" w:rsidRDefault="003464DB" w:rsidP="003464D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Организации источники комплектования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государственных и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муниципальных архивов Ульяновской области,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согласно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присвоенным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категориям риска </w:t>
            </w:r>
          </w:p>
        </w:tc>
        <w:tc>
          <w:tcPr>
            <w:tcW w:w="2410" w:type="dxa"/>
          </w:tcPr>
          <w:p w:rsidR="003464DB" w:rsidRPr="00F53F41" w:rsidRDefault="00F53F41" w:rsidP="003464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53F41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lastRenderedPageBreak/>
              <w:t>655</w:t>
            </w:r>
          </w:p>
        </w:tc>
        <w:tc>
          <w:tcPr>
            <w:tcW w:w="3686" w:type="dxa"/>
          </w:tcPr>
          <w:p w:rsidR="003464DB" w:rsidRPr="00BB683D" w:rsidRDefault="003464DB" w:rsidP="003464DB">
            <w:pPr>
              <w:pStyle w:val="a6"/>
              <w:shd w:val="clear" w:color="auto" w:fill="FFFFFF" w:themeFill="background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Изменение количества возможно по итогам года при расчёте критериев и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определении категорий риска при подготовке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 утверждении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Минист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ром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еречня </w:t>
            </w:r>
            <w:r w:rsidRP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объектов регионального государственного контроля (надзора) за соблюдением законодательства об архивном деле на территории Ульяновской области, отнесённых к определённой категории риска 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FB715F" w:rsidRPr="00F52B7A" w:rsidRDefault="00F53F4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реестр объектов контроля, утверждённые списки организаций источников комплектования государственных и муниципальных архивов, согласованных с экспертно-проверочной комиссией Министерства искусства и культурной политики Ульяновской области</w:t>
      </w:r>
      <w:r w:rsidRPr="00A872B5">
        <w:rPr>
          <w:rFonts w:ascii="PT Astra Serif" w:eastAsia="Times New Roman" w:hAnsi="PT Astra Serif" w:cs="Times New Roman"/>
          <w:sz w:val="28"/>
          <w:szCs w:val="28"/>
        </w:rPr>
        <w:t>_______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433FF2" w:rsidRPr="005C0603" w:rsidRDefault="00433FF2" w:rsidP="00433FF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В настоящее время, сроки, последовательность административных процедур должностных лиц Министерства, установлены положением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 от 22.09.2021 № 440-П. </w:t>
            </w:r>
          </w:p>
          <w:p w:rsidR="00433FF2" w:rsidRPr="005C0603" w:rsidRDefault="00433FF2" w:rsidP="00433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В разделы положения о контроле (надзоре):</w:t>
            </w:r>
          </w:p>
          <w:p w:rsidR="00433FF2" w:rsidRPr="005C0603" w:rsidRDefault="00433FF2" w:rsidP="00433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управление рисками причинения вреда (ущерба) охраняемым законом ценностям при </w:t>
            </w: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осуществлении регионального государственного контроля; </w:t>
            </w:r>
          </w:p>
          <w:p w:rsidR="00433FF2" w:rsidRPr="005C0603" w:rsidRDefault="00433FF2" w:rsidP="00433FF2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 профилактика рисков причинения вреда (ущерба) охраняемым законом ценностям;</w:t>
            </w:r>
          </w:p>
          <w:p w:rsidR="00433FF2" w:rsidRPr="005C0603" w:rsidRDefault="00433FF2" w:rsidP="00433FF2"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 осуществление регионального государственного контроля (надзора)</w:t>
            </w:r>
            <w:r w:rsidR="001F0D5B"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;</w:t>
            </w:r>
          </w:p>
          <w:p w:rsidR="001F0D5B" w:rsidRPr="005C0603" w:rsidRDefault="001F0D5B" w:rsidP="00A842C2">
            <w:pPr>
              <w:pStyle w:val="3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- </w:t>
            </w:r>
            <w:r w:rsidR="00A842C2"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р</w:t>
            </w: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езультаты контрольного (надзорного) мероприятия</w:t>
            </w:r>
            <w:r w:rsidR="00A842C2"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;</w:t>
            </w:r>
          </w:p>
          <w:p w:rsidR="00A842C2" w:rsidRPr="005C0603" w:rsidRDefault="00A842C2" w:rsidP="00A842C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 обжалование решений Министерства, а также действий (бездействия) его должностных лиц.</w:t>
            </w:r>
          </w:p>
          <w:p w:rsidR="00A842C2" w:rsidRPr="005C0603" w:rsidRDefault="00A842C2" w:rsidP="00433FF2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Проект</w:t>
            </w: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>ом предусматривается: изменение  категории риска с использованием ФГИС «ЕПГУ»</w:t>
            </w:r>
            <w:r w:rsidRPr="005C060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; </w:t>
            </w: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периодичность проведения обязательных профилактических визитов для объектов контроля в зависимости от присвоенной категории риска; форма проведения, способы, сроки, порядок проведения профилактического визита и обязательного профилактического визита; </w:t>
            </w:r>
            <w:r w:rsidRPr="005C060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возможность использования средств дистанционного взаимодействия; проведение внеплановой проверки только по согласованию с Прокуратурой за исключением случаев предусмотренных 248-ФЗ; установление срока</w:t>
            </w:r>
            <w:r w:rsidR="00747D4E" w:rsidRPr="005C060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составления акта; выдачу предписания об устранении выявленных нарушений обязательных требований; изменение срока рассмотрения жалобы;  рассмотрение жалобы на решение об отнесении объекта контроля к соответствующей категории риска;</w:t>
            </w:r>
          </w:p>
          <w:p w:rsidR="00A842C2" w:rsidRPr="005C0603" w:rsidRDefault="00A842C2" w:rsidP="00433FF2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>Дополняются: критерии добросовестности;</w:t>
            </w:r>
            <w:r w:rsidR="00747D4E"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основания для проведения внеплановых контрольных (надзорных) мероприятий; </w:t>
            </w:r>
          </w:p>
          <w:p w:rsidR="00433FF2" w:rsidRPr="005C0603" w:rsidRDefault="00747D4E" w:rsidP="00433FF2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Исключаются: </w:t>
            </w:r>
            <w:r w:rsidR="00A842C2" w:rsidRPr="005C0603">
              <w:rPr>
                <w:rFonts w:ascii="PT Astra Serif" w:eastAsia="Times New Roman" w:hAnsi="PT Astra Serif"/>
                <w:sz w:val="24"/>
                <w:szCs w:val="24"/>
              </w:rPr>
              <w:t>понятие плановые контрольные (надзорные) мероприятия</w:t>
            </w: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 в наименовании критерия риска</w:t>
            </w:r>
            <w:r w:rsidR="00A842C2" w:rsidRPr="005C0603">
              <w:rPr>
                <w:rFonts w:ascii="PT Astra Serif" w:eastAsia="Times New Roman" w:hAnsi="PT Astra Serif"/>
                <w:sz w:val="24"/>
                <w:szCs w:val="24"/>
              </w:rPr>
              <w:t>; индикативный показатель «</w:t>
            </w:r>
            <w:r w:rsidR="00A842C2" w:rsidRPr="005C0603">
              <w:rPr>
                <w:rFonts w:ascii="PT Astra Serif" w:eastAsia="Times New Roman" w:hAnsi="PT Astra Serif" w:cs="Courier New"/>
                <w:sz w:val="24"/>
                <w:szCs w:val="24"/>
              </w:rPr>
              <w:t>Количество плановых контрольных (надзорных) мероприятий, проведенных в течение отчетного периода».</w:t>
            </w:r>
            <w:r w:rsidR="00433FF2"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  <w:p w:rsidR="00FB715F" w:rsidRPr="00F52B7A" w:rsidRDefault="00433FF2" w:rsidP="00433FF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В предлагаемом к принятию проекте постановления учтены вышеуказанные требования федерального законодательства.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A70FE4" w:rsidRPr="00F52B7A" w:rsidTr="005C0603">
        <w:tc>
          <w:tcPr>
            <w:tcW w:w="9560" w:type="dxa"/>
            <w:gridSpan w:val="3"/>
          </w:tcPr>
          <w:p w:rsidR="00A70FE4" w:rsidRPr="001160CD" w:rsidRDefault="00A70FE4" w:rsidP="00A70FE4">
            <w:pPr>
              <w:tabs>
                <w:tab w:val="left" w:pos="525"/>
                <w:tab w:val="left" w:pos="7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Расходы (возможные поступления) консолидированного бюджета Ульяновской области не предусматриваются</w:t>
            </w:r>
          </w:p>
        </w:tc>
      </w:tr>
    </w:tbl>
    <w:p w:rsidR="00A70FE4" w:rsidRDefault="00A70FE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A70FE4"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</w:rPr>
        <w:t>Зачислению в бюджет Ульяновской области подлежат штрафы, оплаченные по решению судов общей юрисдикции</w:t>
      </w:r>
      <w:r w:rsidR="00A70FE4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A70FE4"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</w:rPr>
        <w:t>юридическими лицами, индивидуальными предпринимателями за допущение нарушений законодательства о</w:t>
      </w:r>
      <w:r w:rsidR="00A70FE4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б архивном деле.   </w:t>
      </w:r>
      <w:r w:rsidRPr="00F52B7A">
        <w:rPr>
          <w:rFonts w:ascii="PT Astra Serif" w:hAnsi="PT Astra Serif"/>
          <w:sz w:val="28"/>
          <w:szCs w:val="28"/>
        </w:rPr>
        <w:t>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FB715F" w:rsidRDefault="00A42F9E" w:rsidP="00BA2FE2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07BCC">
        <w:rPr>
          <w:rFonts w:ascii="PT Astra Serif" w:eastAsia="Times New Roman" w:hAnsi="PT Astra Serif" w:cs="Times New Roman"/>
          <w:sz w:val="28"/>
          <w:szCs w:val="28"/>
          <w:u w:val="single"/>
        </w:rPr>
        <w:t>ст. 13.20, 19.4, 19.5 Кодекса Российской Федерации об административных правонарушениях, Федеральный закон от 22.10.2004, № 125-ФЗ «Об архивном деле в Российской Федерации»</w:t>
      </w:r>
      <w:r w:rsidRPr="00C07BCC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Pr="00C07BCC">
        <w:rPr>
          <w:rFonts w:ascii="PT Astra Serif" w:eastAsia="Times New Roman" w:hAnsi="PT Astra Serif" w:cs="Times New Roman"/>
          <w:sz w:val="28"/>
          <w:szCs w:val="28"/>
        </w:rPr>
        <w:t>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_____________________</w:t>
      </w:r>
    </w:p>
    <w:p w:rsidR="00A42F9E" w:rsidRPr="00F52B7A" w:rsidRDefault="00A42F9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A42F9E" w:rsidRPr="00F52B7A" w:rsidTr="005C0603">
        <w:tc>
          <w:tcPr>
            <w:tcW w:w="2189" w:type="dxa"/>
            <w:vMerge w:val="restart"/>
          </w:tcPr>
          <w:p w:rsidR="00A42F9E" w:rsidRPr="005C0603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Организации источники комплектования государственных и муниципальных архивов Ульяновской области, согласно присвоенным категориям риска</w:t>
            </w:r>
          </w:p>
        </w:tc>
        <w:tc>
          <w:tcPr>
            <w:tcW w:w="3260" w:type="dxa"/>
          </w:tcPr>
          <w:p w:rsidR="00A42F9E" w:rsidRPr="005C0603" w:rsidRDefault="00A42F9E" w:rsidP="005C060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Установлены: </w:t>
            </w:r>
            <w:r w:rsidR="005C0603" w:rsidRPr="005C0603">
              <w:rPr>
                <w:rFonts w:ascii="PT Astra Serif" w:eastAsia="Times New Roman" w:hAnsi="PT Astra Serif"/>
                <w:sz w:val="24"/>
                <w:szCs w:val="24"/>
              </w:rPr>
              <w:t>изменение  категории риска с использованием ФГИС «ЕПГУ»</w:t>
            </w:r>
            <w:r w:rsidR="005C0603" w:rsidRPr="005C060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; </w:t>
            </w:r>
            <w:r w:rsidR="005C0603"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периодичность проведения обязательных профилактических визитов для объектов контроля в зависимости от присвоенной категории риска; форма проведения, способы, сроки, порядок проведения профилактического визита и обязательного профилактического визита; критерии добросовестности; основания для проведения внеплановых контрольных (надзорных) мероприятий; </w:t>
            </w:r>
            <w:r w:rsidR="005C0603" w:rsidRPr="005C060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проведение внеплановой проверки только по согласованию с Прокуратурой за исключением случаев предусмотренных 248-ФЗ; установление срока составления акта; выдачу предписания об устранении выявленных нарушений обязательных требований; изменение срока рассмотрения жалобы;  рассмотрение жалобы на решение об отнесении объекта контроля к соответствующей категории риска;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</w:p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843" w:type="dxa"/>
          </w:tcPr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42F9E" w:rsidRPr="00F52B7A" w:rsidTr="005C0603">
        <w:tc>
          <w:tcPr>
            <w:tcW w:w="2189" w:type="dxa"/>
            <w:vMerge/>
          </w:tcPr>
          <w:p w:rsidR="00A42F9E" w:rsidRPr="005C0603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42F9E" w:rsidRPr="005C0603" w:rsidRDefault="00A42F9E" w:rsidP="00A4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C060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предусматривается возможность </w:t>
            </w:r>
            <w:r w:rsidR="005C0603" w:rsidRPr="005C060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использования </w:t>
            </w:r>
            <w:r w:rsidR="005C0603" w:rsidRPr="005C060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средств дистанционного взаимодействия при проведении контрольных (надзорных) мероприятий и профилактических мероприятий;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</w:t>
            </w:r>
          </w:p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843" w:type="dxa"/>
          </w:tcPr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42F9E" w:rsidRPr="00F52B7A" w:rsidTr="005C0603">
        <w:tc>
          <w:tcPr>
            <w:tcW w:w="2189" w:type="dxa"/>
            <w:vMerge/>
          </w:tcPr>
          <w:p w:rsidR="00A42F9E" w:rsidRPr="005C0603" w:rsidRDefault="00A42F9E" w:rsidP="00A42F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2F9E" w:rsidRPr="005C0603" w:rsidRDefault="005C0603" w:rsidP="005C060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>Исключается: понятие плановые контрольные (надзорные) мероприятия в наименовании критерия риска; индикативный показатель «</w:t>
            </w:r>
            <w:r w:rsidRPr="005C0603">
              <w:rPr>
                <w:rFonts w:ascii="PT Astra Serif" w:eastAsia="Times New Roman" w:hAnsi="PT Astra Serif" w:cs="Courier New"/>
                <w:sz w:val="24"/>
                <w:szCs w:val="24"/>
              </w:rPr>
              <w:t>Количество плановых контрольных (надзорных) мероприятий, проведенных в течение отчетного периода».</w:t>
            </w: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</w:p>
          <w:p w:rsidR="00A42F9E" w:rsidRPr="00F52B7A" w:rsidRDefault="00A42F9E" w:rsidP="00A42F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1843" w:type="dxa"/>
          </w:tcPr>
          <w:p w:rsidR="00A42F9E" w:rsidRPr="00F52B7A" w:rsidRDefault="00A42F9E" w:rsidP="00A42F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</w:rPr>
              <w:t>Не предусмотрено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F52B7A" w:rsidRDefault="00C477F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не имеется        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FB715F" w:rsidRPr="00F52B7A" w:rsidRDefault="00C477F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н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ет</w:t>
      </w:r>
      <w:r>
        <w:rPr>
          <w:rFonts w:ascii="PT Astra Serif" w:hAnsi="PT Astra Serif"/>
          <w:sz w:val="28"/>
          <w:szCs w:val="28"/>
        </w:rPr>
        <w:t>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C477F1" w:rsidRPr="00F52B7A" w:rsidTr="005C0603">
        <w:tc>
          <w:tcPr>
            <w:tcW w:w="9560" w:type="dxa"/>
            <w:gridSpan w:val="4"/>
            <w:vAlign w:val="center"/>
          </w:tcPr>
          <w:p w:rsidR="00C477F1" w:rsidRPr="00F52B7A" w:rsidRDefault="00C477F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</w:rPr>
              <w:t>Отрицательных последствий и рисков не прогнозируется</w:t>
            </w:r>
          </w:p>
        </w:tc>
      </w:tr>
    </w:tbl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61A1C">
        <w:rPr>
          <w:rFonts w:ascii="PT Astra Serif" w:hAnsi="PT Astra Serif"/>
          <w:sz w:val="28"/>
          <w:szCs w:val="28"/>
          <w:u w:val="single"/>
        </w:rPr>
        <w:t>нет.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май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202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5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года</w:t>
      </w:r>
      <w:r w:rsidR="00FB715F" w:rsidRPr="00F52B7A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C61A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</w:t>
      </w:r>
      <w:r w:rsidR="00C61A1C">
        <w:rPr>
          <w:rFonts w:ascii="PT Astra Serif" w:hAnsi="PT Astra Serif"/>
          <w:sz w:val="28"/>
          <w:szCs w:val="28"/>
        </w:rPr>
        <w:t xml:space="preserve">: </w:t>
      </w:r>
      <w:r w:rsidRPr="00C61A1C">
        <w:rPr>
          <w:rFonts w:ascii="PT Astra Serif" w:hAnsi="PT Astra Serif"/>
          <w:sz w:val="28"/>
          <w:szCs w:val="28"/>
          <w:u w:val="single"/>
        </w:rPr>
        <w:t>нет.</w:t>
      </w:r>
      <w:r w:rsidR="00C61A1C" w:rsidRPr="00C61A1C">
        <w:rPr>
          <w:rFonts w:ascii="PT Astra Serif" w:hAnsi="PT Astra Serif"/>
          <w:sz w:val="28"/>
          <w:szCs w:val="28"/>
        </w:rPr>
        <w:t>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_</w:t>
      </w:r>
      <w:r w:rsidR="00C61A1C">
        <w:rPr>
          <w:rFonts w:ascii="PT Astra Serif" w:hAnsi="PT Astra Serif"/>
          <w:sz w:val="28"/>
          <w:szCs w:val="28"/>
        </w:rPr>
        <w:t>_</w:t>
      </w:r>
      <w:r w:rsidR="00C61A1C" w:rsidRPr="00C61A1C">
        <w:rPr>
          <w:rFonts w:ascii="PT Astra Serif" w:hAnsi="PT Astra Serif"/>
          <w:sz w:val="28"/>
          <w:szCs w:val="28"/>
          <w:u w:val="single"/>
        </w:rPr>
        <w:t>0</w:t>
      </w:r>
      <w:r w:rsidR="00C61A1C">
        <w:rPr>
          <w:rFonts w:ascii="PT Astra Serif" w:hAnsi="PT Astra Serif"/>
          <w:sz w:val="28"/>
          <w:szCs w:val="28"/>
          <w:u w:val="single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_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имеется</w:t>
      </w:r>
      <w:r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2976"/>
        <w:gridCol w:w="1524"/>
        <w:gridCol w:w="1560"/>
        <w:gridCol w:w="1559"/>
      </w:tblGrid>
      <w:tr w:rsidR="00F52B7A" w:rsidRPr="00F52B7A" w:rsidTr="00907789">
        <w:tc>
          <w:tcPr>
            <w:tcW w:w="206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524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56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55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C61A1C" w:rsidRPr="00F52B7A" w:rsidTr="00907789">
        <w:tc>
          <w:tcPr>
            <w:tcW w:w="2060" w:type="dxa"/>
          </w:tcPr>
          <w:p w:rsidR="00C61A1C" w:rsidRPr="00907789" w:rsidRDefault="00C61A1C" w:rsidP="00C61A1C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077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Осуществление регионального государственного контроля (надзора)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 соблюдением законодательства об архивном деле на территории Ульяновской области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соответствии с требованиями </w:t>
            </w:r>
            <w:r w:rsidRPr="0090778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6" w:type="dxa"/>
          </w:tcPr>
          <w:p w:rsidR="00C61A1C" w:rsidRPr="00907789" w:rsidRDefault="00C61A1C" w:rsidP="00C61A1C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90778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Положения 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региональном государственном контроле (надзоре) за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соблюдением законодательства об архивном деле на территории Ульяновской области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утверждённого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постановлением Правительства Ульяновской области от 22.09.2021 № 440-П «Об утверждении положения о региональном государственном контроля (надзоре) за соблюдением законодательства об архивном деле на территории Ульяновской области»  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90778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от 31.07.2020 № 248-ФЗ  «О государственном контроле (надзоре) и муниципальном контроле в Российской Федерации» - постоянно;</w:t>
            </w:r>
          </w:p>
          <w:p w:rsidR="00C61A1C" w:rsidRPr="00907789" w:rsidRDefault="00C61A1C" w:rsidP="00C61A1C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Отсутствие противоречий федеральному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законодательству – постоянно.</w:t>
            </w:r>
          </w:p>
        </w:tc>
        <w:tc>
          <w:tcPr>
            <w:tcW w:w="1524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год): __</w:t>
      </w:r>
      <w:r w:rsidR="00C61A1C" w:rsidRPr="00C61A1C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 тыс. руб.</w:t>
      </w:r>
      <w:r w:rsidR="00C61A1C" w:rsidRPr="00C61A1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предусматривается.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предоставление отчетности исполнительным органом государственной власти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13.4. </w:t>
            </w:r>
            <w:proofErr w:type="spellStart"/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</w:t>
            </w:r>
            <w:proofErr w:type="spell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C61A1C" w:rsidRPr="00F52B7A" w:rsidTr="005C0603">
        <w:tc>
          <w:tcPr>
            <w:tcW w:w="9560" w:type="dxa"/>
            <w:gridSpan w:val="5"/>
            <w:vAlign w:val="center"/>
          </w:tcPr>
          <w:p w:rsidR="00C61A1C" w:rsidRPr="00F52B7A" w:rsidRDefault="00C61A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</w:t>
      </w:r>
      <w:r w:rsidR="00C61A1C" w:rsidRPr="006513C5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_______ тыс. руб.</w:t>
      </w:r>
      <w:r w:rsidR="00C61A1C">
        <w:rPr>
          <w:rFonts w:ascii="PT Astra Serif" w:hAnsi="PT Astra Serif"/>
          <w:sz w:val="28"/>
          <w:szCs w:val="28"/>
        </w:rPr>
        <w:t xml:space="preserve"> </w:t>
      </w:r>
      <w:r w:rsidR="00C61A1C" w:rsidRPr="00C61A1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предусматривается.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административных и иных ограничений и обязанностей для субъектов предпринимательства не вводится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  <w:r>
        <w:rPr>
          <w:rFonts w:ascii="PT Astra Serif" w:hAnsi="PT Astra Serif"/>
          <w:sz w:val="28"/>
          <w:szCs w:val="28"/>
        </w:rPr>
        <w:t>_______</w:t>
      </w:r>
      <w:r w:rsidR="00FB715F" w:rsidRPr="00F52B7A">
        <w:rPr>
          <w:rFonts w:ascii="PT Astra Serif" w:hAnsi="PT Astra Serif"/>
          <w:sz w:val="28"/>
          <w:szCs w:val="28"/>
        </w:rPr>
        <w:t>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расходов субъектов предпринимательской деятельности не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lastRenderedPageBreak/>
        <w:t>предвидится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расходов областного бюджета Ульяновск не предусматривается</w:t>
      </w:r>
      <w:r w:rsidRPr="006513C5">
        <w:rPr>
          <w:rFonts w:ascii="PT Astra Serif" w:hAnsi="PT Astra Serif"/>
          <w:sz w:val="28"/>
          <w:szCs w:val="28"/>
          <w:u w:val="single"/>
        </w:rPr>
        <w:t>;</w:t>
      </w:r>
      <w:r>
        <w:rPr>
          <w:rFonts w:ascii="PT Astra Serif" w:hAnsi="PT Astra Serif"/>
          <w:sz w:val="28"/>
          <w:szCs w:val="28"/>
          <w:u w:val="single"/>
        </w:rPr>
        <w:t xml:space="preserve">  </w:t>
      </w:r>
      <w:r>
        <w:rPr>
          <w:rFonts w:ascii="PT Astra Serif" w:hAnsi="PT Astra Serif"/>
          <w:sz w:val="28"/>
          <w:szCs w:val="28"/>
        </w:rPr>
        <w:t>_</w:t>
      </w:r>
      <w:r w:rsidR="00A77117">
        <w:rPr>
          <w:rFonts w:ascii="PT Astra Serif" w:hAnsi="PT Astra Serif"/>
          <w:sz w:val="28"/>
          <w:szCs w:val="28"/>
        </w:rPr>
        <w:t>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ограничению конкуренции не способствует</w:t>
      </w:r>
      <w:r>
        <w:rPr>
          <w:rFonts w:ascii="PT Astra Serif" w:hAnsi="PT Astra Serif"/>
          <w:sz w:val="28"/>
          <w:szCs w:val="28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5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  <w:r w:rsidR="006513C5" w:rsidRPr="006513C5">
        <w:rPr>
          <w:rFonts w:ascii="PT Astra Serif" w:hAnsi="PT Astra Serif"/>
          <w:sz w:val="28"/>
          <w:szCs w:val="28"/>
          <w:u w:val="single"/>
        </w:rPr>
        <w:t>обязательные требования не устанавливаются</w:t>
      </w:r>
      <w:r w:rsidR="006513C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_</w:t>
      </w:r>
      <w:r w:rsidR="00A77117">
        <w:rPr>
          <w:rFonts w:ascii="PT Astra Serif" w:hAnsi="PT Astra Serif"/>
          <w:sz w:val="28"/>
          <w:szCs w:val="28"/>
        </w:rPr>
        <w:t>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</w:t>
      </w:r>
      <w:r w:rsidR="00DA664A" w:rsidRPr="00DA664A">
        <w:rPr>
          <w:rFonts w:ascii="PT Astra Serif" w:hAnsi="PT Astra Serif"/>
          <w:sz w:val="28"/>
          <w:szCs w:val="28"/>
        </w:rPr>
        <w:t xml:space="preserve">                </w:t>
      </w:r>
      <w:r w:rsidR="00DA664A">
        <w:rPr>
          <w:rFonts w:ascii="PT Astra Serif" w:hAnsi="PT Astra Serif"/>
          <w:sz w:val="28"/>
          <w:szCs w:val="28"/>
        </w:rPr>
        <w:t xml:space="preserve">г.; окончание: </w:t>
      </w:r>
      <w:r w:rsidR="00DA664A">
        <w:rPr>
          <w:rFonts w:ascii="PT Astra Serif" w:hAnsi="PT Astra Serif"/>
          <w:sz w:val="28"/>
          <w:szCs w:val="28"/>
          <w:lang w:val="en-US"/>
        </w:rPr>
        <w:t xml:space="preserve">                    </w:t>
      </w:r>
      <w:proofErr w:type="gramStart"/>
      <w:r w:rsidRPr="00F52B7A">
        <w:rPr>
          <w:rFonts w:ascii="PT Astra Serif" w:hAnsi="PT Astra Serif"/>
          <w:sz w:val="28"/>
          <w:szCs w:val="28"/>
        </w:rPr>
        <w:t>г</w:t>
      </w:r>
      <w:proofErr w:type="gramEnd"/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226547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искусства и культурной </w:t>
      </w:r>
    </w:p>
    <w:p w:rsidR="00226547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политики Ульяновской области</w:t>
      </w:r>
    </w:p>
    <w:p w:rsidR="00226547" w:rsidRPr="001160CD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226547">
        <w:rPr>
          <w:rFonts w:ascii="PT Astra Serif" w:hAnsi="PT Astra Serif"/>
          <w:sz w:val="28"/>
          <w:szCs w:val="28"/>
        </w:rPr>
        <w:t>_____</w:t>
      </w:r>
      <w:r w:rsidRPr="00F52B7A">
        <w:rPr>
          <w:rFonts w:ascii="PT Astra Serif" w:hAnsi="PT Astra Serif"/>
          <w:sz w:val="28"/>
          <w:szCs w:val="28"/>
        </w:rPr>
        <w:t>_</w:t>
      </w:r>
      <w:proofErr w:type="spellStart"/>
      <w:r w:rsidR="00226547" w:rsidRPr="00226547">
        <w:rPr>
          <w:rFonts w:ascii="PT Astra Serif" w:hAnsi="PT Astra Serif"/>
          <w:sz w:val="28"/>
          <w:szCs w:val="28"/>
          <w:u w:val="single"/>
        </w:rPr>
        <w:t>Е.Е.Сидорова</w:t>
      </w:r>
      <w:proofErr w:type="spellEnd"/>
      <w:r w:rsidRPr="00F52B7A">
        <w:rPr>
          <w:rFonts w:ascii="PT Astra Serif" w:hAnsi="PT Astra Serif"/>
          <w:sz w:val="28"/>
          <w:szCs w:val="28"/>
        </w:rPr>
        <w:t>_            _____</w:t>
      </w:r>
      <w:r w:rsidR="00226547">
        <w:rPr>
          <w:rFonts w:ascii="PT Astra Serif" w:hAnsi="PT Astra Serif"/>
          <w:sz w:val="28"/>
          <w:szCs w:val="28"/>
        </w:rPr>
        <w:t>__</w:t>
      </w:r>
      <w:r w:rsidRPr="00F52B7A">
        <w:rPr>
          <w:rFonts w:ascii="PT Astra Serif" w:hAnsi="PT Astra Serif"/>
          <w:sz w:val="28"/>
          <w:szCs w:val="28"/>
        </w:rPr>
        <w:t>__ ____________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="00226547">
        <w:rPr>
          <w:rFonts w:ascii="PT Astra Serif" w:hAnsi="PT Astra Serif"/>
          <w:sz w:val="22"/>
        </w:rPr>
        <w:t xml:space="preserve">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</w:t>
      </w:r>
      <w:r w:rsidR="00226547">
        <w:rPr>
          <w:rFonts w:ascii="PT Astra Serif" w:hAnsi="PT Astra Serif"/>
          <w:sz w:val="22"/>
        </w:rPr>
        <w:t xml:space="preserve">       </w:t>
      </w:r>
      <w:r w:rsidRPr="00A77117">
        <w:rPr>
          <w:rFonts w:ascii="PT Astra Serif" w:hAnsi="PT Astra Serif"/>
          <w:sz w:val="22"/>
        </w:rPr>
        <w:t xml:space="preserve">дата   </w:t>
      </w:r>
      <w:r w:rsidR="00226547">
        <w:rPr>
          <w:rFonts w:ascii="PT Astra Serif" w:hAnsi="PT Astra Serif"/>
          <w:sz w:val="22"/>
        </w:rPr>
        <w:t xml:space="preserve">          </w:t>
      </w:r>
      <w:r w:rsidRPr="00A77117">
        <w:rPr>
          <w:rFonts w:ascii="PT Astra Serif" w:hAnsi="PT Astra Serif"/>
          <w:sz w:val="22"/>
        </w:rPr>
        <w:t xml:space="preserve">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7" w:name="P597"/>
      <w:bookmarkEnd w:id="7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содержащих  положения,  отменяющие  ранее  </w:t>
      </w:r>
      <w:r w:rsidRPr="00A77117">
        <w:rPr>
          <w:rFonts w:ascii="PT Astra Serif" w:hAnsi="PT Astra Serif"/>
          <w:sz w:val="24"/>
          <w:szCs w:val="24"/>
        </w:rPr>
        <w:lastRenderedPageBreak/>
        <w:t>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  <w:bookmarkStart w:id="8" w:name="_GoBack"/>
      <w:bookmarkEnd w:id="8"/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9" w:name="P642"/>
      <w:bookmarkEnd w:id="9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85C4B"/>
    <w:rsid w:val="0012630C"/>
    <w:rsid w:val="0013319D"/>
    <w:rsid w:val="00167D62"/>
    <w:rsid w:val="001F0D5B"/>
    <w:rsid w:val="00226547"/>
    <w:rsid w:val="0023149D"/>
    <w:rsid w:val="00287376"/>
    <w:rsid w:val="00304728"/>
    <w:rsid w:val="003049DF"/>
    <w:rsid w:val="003464DB"/>
    <w:rsid w:val="003766C2"/>
    <w:rsid w:val="003C0076"/>
    <w:rsid w:val="00433FF2"/>
    <w:rsid w:val="0050463A"/>
    <w:rsid w:val="005326C5"/>
    <w:rsid w:val="005B2C3A"/>
    <w:rsid w:val="005C0603"/>
    <w:rsid w:val="006513C5"/>
    <w:rsid w:val="00747D4E"/>
    <w:rsid w:val="008846B7"/>
    <w:rsid w:val="00907789"/>
    <w:rsid w:val="00911EF2"/>
    <w:rsid w:val="009549B1"/>
    <w:rsid w:val="00A42F9E"/>
    <w:rsid w:val="00A70FE4"/>
    <w:rsid w:val="00A77117"/>
    <w:rsid w:val="00A842C2"/>
    <w:rsid w:val="00BA2FE2"/>
    <w:rsid w:val="00BE0316"/>
    <w:rsid w:val="00C36BCE"/>
    <w:rsid w:val="00C477F1"/>
    <w:rsid w:val="00C57F60"/>
    <w:rsid w:val="00C61A1C"/>
    <w:rsid w:val="00D57395"/>
    <w:rsid w:val="00DA664A"/>
    <w:rsid w:val="00DC4E0E"/>
    <w:rsid w:val="00DD71CC"/>
    <w:rsid w:val="00E927AC"/>
    <w:rsid w:val="00ED09B8"/>
    <w:rsid w:val="00F52B7A"/>
    <w:rsid w:val="00F53F41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5326C5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911E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4DB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433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5326C5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911E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4DB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433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2025-04-02T06:21:00Z</dcterms:created>
  <dcterms:modified xsi:type="dcterms:W3CDTF">2025-04-02T06:21:00Z</dcterms:modified>
</cp:coreProperties>
</file>