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63" w:rsidRDefault="0088401F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3A2363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88401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3A2363" w:rsidRDefault="003A2363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:rsidR="003A2363" w:rsidRDefault="0088401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О С Т А Н О В Л Е Н И Е</w:t>
      </w: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3A2363" w:rsidRDefault="0088401F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границ зон охраны объекта культурного наследия регионального значения «Церковь Рождества Христова (православная приходская)», 1804–1891 гг., расположенного по адресу: г. Ульяновск, </w:t>
      </w:r>
      <w:r>
        <w:rPr>
          <w:rFonts w:ascii="PT Astra Serif" w:hAnsi="PT Astra Serif"/>
          <w:b/>
          <w:sz w:val="28"/>
          <w:szCs w:val="28"/>
        </w:rPr>
        <w:br/>
        <w:t>ул. Российская, д. 121, и требований к градостроительным ре</w:t>
      </w:r>
      <w:r>
        <w:rPr>
          <w:rFonts w:ascii="PT Astra Serif" w:hAnsi="PT Astra Serif"/>
          <w:b/>
          <w:sz w:val="28"/>
          <w:szCs w:val="28"/>
        </w:rPr>
        <w:t xml:space="preserve">гламентам </w:t>
      </w:r>
      <w:r>
        <w:rPr>
          <w:rFonts w:ascii="PT Astra Serif" w:hAnsi="PT Astra Serif"/>
          <w:b/>
          <w:sz w:val="28"/>
          <w:szCs w:val="28"/>
        </w:rPr>
        <w:br/>
        <w:t>в границах территории данных зон</w:t>
      </w: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7" w:tooltip="consultantplus://offline/ref=3925C40B07BAD91E6D50D25A0B763B99AC667BE906DD6894A109FE81124814EE2B6119519727062B131880AEDF874664C92D7AA887r3bCF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от 25.06.2002 </w:t>
      </w:r>
      <w:r>
        <w:rPr>
          <w:rFonts w:ascii="PT Astra Serif" w:hAnsi="PT Astra Serif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</w:t>
      </w:r>
      <w:r>
        <w:rPr>
          <w:rFonts w:ascii="PT Astra Serif" w:hAnsi="PT Astra Serif"/>
          <w:sz w:val="28"/>
          <w:szCs w:val="28"/>
        </w:rPr>
        <w:t xml:space="preserve">рации»,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Федерации» и статьёй 9 </w:t>
      </w:r>
      <w:hyperlink r:id="rId8" w:tooltip="consultantplus://offline/ref=3925C40B07BAD91E6D50CC571D1A6593A96F2CE707DD66C3F556A5DC45411EB96C2E4013D62D0C7F425DD3A7D6D709209F3E7AAC9B3C39B43FEF9Br1b8F">
        <w:r>
          <w:rPr>
            <w:rFonts w:ascii="PT Astra Serif" w:hAnsi="PT Astra Serif"/>
            <w:sz w:val="28"/>
            <w:szCs w:val="28"/>
          </w:rPr>
          <w:t>Закона</w:t>
        </w:r>
      </w:hyperlink>
      <w:r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09.03.2006 № 24-ЗО «Об объектах культурного наследия (памятниках истории и культуры) народов Российской Федерации, расположенных </w:t>
      </w:r>
      <w:r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области» </w:t>
      </w:r>
      <w:r>
        <w:rPr>
          <w:rFonts w:ascii="PT Astra Serif" w:hAnsi="PT Astra Serif" w:cs="Times New Roman"/>
          <w:sz w:val="28"/>
          <w:szCs w:val="28"/>
        </w:rPr>
        <w:t>Правительство Улья</w:t>
      </w:r>
      <w:r>
        <w:rPr>
          <w:rFonts w:ascii="PT Astra Serif" w:hAnsi="PT Astra Serif" w:cs="Times New Roman"/>
          <w:sz w:val="28"/>
          <w:szCs w:val="28"/>
        </w:rPr>
        <w:t>новской области</w:t>
      </w:r>
      <w:r>
        <w:rPr>
          <w:rFonts w:ascii="PT Astra Serif" w:hAnsi="PT Astra Serif" w:cs="Times New Roman"/>
          <w:sz w:val="28"/>
          <w:szCs w:val="28"/>
        </w:rPr>
        <w:br/>
        <w:t>п о с т а н о в л я е т:</w:t>
      </w:r>
    </w:p>
    <w:p w:rsidR="003A2363" w:rsidRDefault="0088401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Утвердить: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1.1. Границы зон охраны объекта культурного наследия регионального значения «Церковь Рождества Христова (православная приходская)», 1804–1891 гг., расположенного по адресу: г. Ульяновск, ул. Российская</w:t>
      </w:r>
      <w:r>
        <w:rPr>
          <w:rFonts w:ascii="PT Astra Serif" w:hAnsi="PT Astra Serif"/>
          <w:sz w:val="28"/>
          <w:szCs w:val="28"/>
          <w:lang w:eastAsia="ar-SA"/>
        </w:rPr>
        <w:t xml:space="preserve">, д. 121 </w:t>
      </w:r>
      <w:hyperlink r:id="rId9" w:tooltip="consultantplus://offline/ref=A7F750C231C1E20D328CCFD9AF55B369583BD1806737912D4D17BD44ADF764B54B7CD3C0A42834BD00A4965FACF74B6C095B91B2C484E9A25CEFD5QFA8G"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1.2. Требования к градостроительным регламентам в границах территории зон охраны объекта культурного наследия регионального значения «Церковь Рождества Хри</w:t>
      </w:r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стова (православная приходская)», 1804–1891 гг.,  расположенного по адресу: г. Ульяновск, ул. Российская, д. 121</w:t>
      </w:r>
      <w:hyperlink r:id="rId10" w:tooltip="consultantplus://offline/ref=A7F750C231C1E20D328CCFD9AF55B369583BD1806737912D4D17BD44ADF764B54B7CD3C0A42834BD00A7965CACF74B6C095B91B2C484E9A25CEFD5QFA8G"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 xml:space="preserve">(приложение </w:t>
        </w:r>
        <w:r>
          <w:rPr>
            <w:rStyle w:val="af6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br/>
          <w:t>№ 2)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:rsidR="003A2363" w:rsidRDefault="0088401F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bCs/>
          <w:sz w:val="28"/>
          <w:szCs w:val="28"/>
          <w:lang w:eastAsia="ar-SA"/>
        </w:rPr>
        <w:t xml:space="preserve">2. Настоящее постановление вступает в силу на </w:t>
      </w:r>
      <w:r>
        <w:rPr>
          <w:rFonts w:ascii="PT Astra Serif" w:hAnsi="PT Astra Serif"/>
          <w:bCs/>
          <w:sz w:val="28"/>
          <w:szCs w:val="28"/>
          <w:lang w:eastAsia="ar-SA"/>
        </w:rPr>
        <w:t>следующий день после дня его официального опубликования.</w:t>
      </w: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3A2363">
      <w:pPr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:rsidR="003A2363" w:rsidRDefault="0088401F">
      <w:pPr>
        <w:rPr>
          <w:rFonts w:ascii="PT Astra Serif" w:eastAsia="Batang" w:hAnsi="PT Astra Serif"/>
          <w:sz w:val="28"/>
          <w:szCs w:val="28"/>
        </w:rPr>
      </w:pPr>
      <w:r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:rsidR="003A2363" w:rsidRDefault="0088401F">
      <w:pPr>
        <w:rPr>
          <w:rFonts w:ascii="PT Astra Serif" w:eastAsia="Batang" w:hAnsi="PT Astra Serif"/>
          <w:sz w:val="28"/>
          <w:szCs w:val="28"/>
        </w:rPr>
        <w:sectPr w:rsidR="003A23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</w:t>
      </w:r>
      <w:r>
        <w:rPr>
          <w:rFonts w:ascii="PT Astra Serif" w:eastAsia="Batang" w:hAnsi="PT Astra Serif"/>
          <w:sz w:val="28"/>
          <w:szCs w:val="28"/>
        </w:rPr>
        <w:t xml:space="preserve">                             Г.С. Спирчагов</w:t>
      </w:r>
    </w:p>
    <w:p w:rsidR="003A2363" w:rsidRDefault="0088401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3A2363">
      <w:pPr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ГРАНИЦЫ </w:t>
      </w:r>
    </w:p>
    <w:p w:rsidR="003A2363" w:rsidRDefault="0088401F">
      <w:pPr>
        <w:tabs>
          <w:tab w:val="left" w:pos="709"/>
          <w:tab w:val="left" w:pos="3261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зон охраны объекта культурного наследия </w:t>
      </w:r>
      <w:r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регионального значения «Церковь Рождества Христова (православная приходская)», 1804–1891 гг.,  </w:t>
      </w:r>
      <w:bookmarkStart w:id="0" w:name="_Hlk175575341"/>
      <w:bookmarkEnd w:id="0"/>
      <w:r>
        <w:rPr>
          <w:rFonts w:ascii="PT Astra Serif" w:hAnsi="PT Astra Serif"/>
          <w:b/>
          <w:sz w:val="28"/>
          <w:szCs w:val="28"/>
        </w:rPr>
        <w:t xml:space="preserve">расположенного по адресу: </w:t>
      </w:r>
      <w:r>
        <w:rPr>
          <w:rFonts w:ascii="PT Astra Serif" w:hAnsi="PT Astra Serif"/>
          <w:b/>
          <w:sz w:val="28"/>
          <w:szCs w:val="28"/>
        </w:rPr>
        <w:br/>
        <w:t>г. Ульяновск, ул. Российская, д. 121</w:t>
      </w: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pStyle w:val="aff1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Карта (схема) границ зон охраны объекта культурного наследия регионального значения </w:t>
      </w:r>
      <w:bookmarkStart w:id="1" w:name="_Hlk175580842"/>
      <w:r>
        <w:rPr>
          <w:rFonts w:ascii="PT Astra Serif" w:hAnsi="PT Astra Serif"/>
          <w:bCs/>
          <w:sz w:val="28"/>
          <w:szCs w:val="28"/>
        </w:rPr>
        <w:t>«Церковь</w:t>
      </w:r>
      <w:r>
        <w:rPr>
          <w:rFonts w:ascii="PT Astra Serif" w:hAnsi="PT Astra Serif"/>
          <w:bCs/>
          <w:sz w:val="28"/>
          <w:szCs w:val="28"/>
        </w:rPr>
        <w:t xml:space="preserve"> Рождества Христова (православная приходская)», 1804–1891гг., расположенного по адресу: Ульяновская область, </w:t>
      </w:r>
      <w:r>
        <w:rPr>
          <w:rFonts w:ascii="PT Astra Serif" w:hAnsi="PT Astra Serif"/>
          <w:bCs/>
          <w:sz w:val="28"/>
          <w:szCs w:val="28"/>
        </w:rPr>
        <w:br/>
        <w:t>г. Ульяновск, ул. Российская, д. 121(далее – объект культурного наследия)</w:t>
      </w:r>
      <w:bookmarkEnd w:id="1"/>
      <w:r>
        <w:rPr>
          <w:rFonts w:ascii="PT Astra Serif" w:hAnsi="PT Astra Serif"/>
          <w:bCs/>
          <w:sz w:val="28"/>
          <w:szCs w:val="28"/>
        </w:rPr>
        <w:t>:</w:t>
      </w:r>
      <w:bookmarkStart w:id="2" w:name="_Hlk175575021"/>
      <w:r>
        <w:rPr>
          <w:rFonts w:ascii="PT Astra Serif" w:hAnsi="PT Astra Serif"/>
          <w:bCs/>
          <w:sz w:val="28"/>
          <w:szCs w:val="28"/>
        </w:rPr>
        <w:t xml:space="preserve"> </w:t>
      </w:r>
      <w:bookmarkEnd w:id="2"/>
    </w:p>
    <w:p w:rsidR="003A2363" w:rsidRDefault="0088401F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74930</wp:posOffset>
            </wp:positionV>
            <wp:extent cx="6029325" cy="3911600"/>
            <wp:effectExtent l="0" t="0" r="0" b="0"/>
            <wp:wrapNone/>
            <wp:docPr id="2" name="Рисунок 2" descr="C:\Users\kononova_ka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kononova_ka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9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3A2363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</w:p>
    <w:p w:rsidR="003A2363" w:rsidRDefault="0088401F">
      <w:pPr>
        <w:pStyle w:val="aff1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Условные обозначения:</w:t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ff5"/>
        <w:tblpPr w:leftFromText="181" w:rightFromText="181" w:vertAnchor="page" w:horzAnchor="page" w:tblpX="1700" w:tblpY="1735"/>
        <w:tblW w:w="9746" w:type="dxa"/>
        <w:tblLayout w:type="fixed"/>
        <w:tblLook w:val="04A0" w:firstRow="1" w:lastRow="0" w:firstColumn="1" w:lastColumn="0" w:noHBand="0" w:noVBand="1"/>
      </w:tblPr>
      <w:tblGrid>
        <w:gridCol w:w="993"/>
        <w:gridCol w:w="8753"/>
      </w:tblGrid>
      <w:tr w:rsidR="003A2363">
        <w:trPr>
          <w:trHeight w:val="496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53975</wp:posOffset>
                  </wp:positionV>
                  <wp:extent cx="410210" cy="211455"/>
                  <wp:effectExtent l="0" t="0" r="0" b="0"/>
                  <wp:wrapNone/>
                  <wp:docPr id="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21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объект культурного </w:t>
            </w:r>
            <w:r>
              <w:rPr>
                <w:rFonts w:ascii="PT Astra Serif" w:hAnsi="PT Astra Serif"/>
                <w:sz w:val="28"/>
              </w:rPr>
              <w:t>наследия</w:t>
            </w:r>
          </w:p>
        </w:tc>
      </w:tr>
      <w:tr w:rsidR="003A2363">
        <w:trPr>
          <w:trHeight w:val="593"/>
        </w:trPr>
        <w:tc>
          <w:tcPr>
            <w:tcW w:w="993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53975</wp:posOffset>
                  </wp:positionV>
                  <wp:extent cx="407670" cy="2857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2363" w:rsidRDefault="003A2363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территория объекта культурного наследия</w:t>
            </w:r>
          </w:p>
        </w:tc>
      </w:tr>
      <w:tr w:rsidR="003A2363">
        <w:trPr>
          <w:trHeight w:val="496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415925" cy="236220"/>
                  <wp:effectExtent l="0" t="0" r="0" b="0"/>
                  <wp:wrapNone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границы охранной зоны объекта культурного наследия</w:t>
            </w:r>
          </w:p>
        </w:tc>
      </w:tr>
      <w:tr w:rsidR="003A2363">
        <w:trPr>
          <w:trHeight w:val="567"/>
        </w:trPr>
        <w:tc>
          <w:tcPr>
            <w:tcW w:w="993" w:type="dxa"/>
          </w:tcPr>
          <w:p w:rsidR="003A2363" w:rsidRDefault="0088401F">
            <w:pPr>
              <w:pStyle w:val="aff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13970</wp:posOffset>
                  </wp:positionV>
                  <wp:extent cx="422910" cy="266700"/>
                  <wp:effectExtent l="0" t="0" r="0" b="0"/>
                  <wp:wrapNone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границы земельных участков</w:t>
            </w:r>
          </w:p>
        </w:tc>
      </w:tr>
      <w:tr w:rsidR="003A2363">
        <w:trPr>
          <w:trHeight w:val="557"/>
        </w:trPr>
        <w:tc>
          <w:tcPr>
            <w:tcW w:w="993" w:type="dxa"/>
          </w:tcPr>
          <w:p w:rsidR="003A2363" w:rsidRDefault="0088401F">
            <w:pPr>
              <w:pStyle w:val="aff1"/>
              <w:ind w:lef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anchor distT="0" distB="0" distL="0" distR="0" simplePos="0" relativeHeight="9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57785</wp:posOffset>
                  </wp:positionV>
                  <wp:extent cx="342900" cy="213995"/>
                  <wp:effectExtent l="0" t="0" r="0" b="0"/>
                  <wp:wrapNone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2" w:type="dxa"/>
          </w:tcPr>
          <w:p w:rsidR="003A2363" w:rsidRDefault="0088401F">
            <w:pPr>
              <w:pStyle w:val="aff1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характерные точки границ охранной зоны объекта культурного наследия</w:t>
            </w:r>
          </w:p>
        </w:tc>
      </w:tr>
    </w:tbl>
    <w:p w:rsidR="003A2363" w:rsidRDefault="0088401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Координаты характерных точек границ </w:t>
      </w:r>
      <w:r>
        <w:rPr>
          <w:rFonts w:ascii="PT Astra Serif" w:hAnsi="PT Astra Serif"/>
          <w:bCs/>
          <w:sz w:val="28"/>
          <w:szCs w:val="28"/>
        </w:rPr>
        <w:t>охранной зоны объекта культурного наследия:</w:t>
      </w:r>
    </w:p>
    <w:p w:rsidR="003A2363" w:rsidRDefault="003A2363">
      <w:pPr>
        <w:pStyle w:val="af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7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3963"/>
        <w:gridCol w:w="3907"/>
      </w:tblGrid>
      <w:tr w:rsidR="003A2363">
        <w:trPr>
          <w:cantSplit/>
          <w:jc w:val="center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Обозначение (номер) характерной точки</w:t>
            </w:r>
          </w:p>
        </w:tc>
        <w:tc>
          <w:tcPr>
            <w:tcW w:w="7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Ведомость координат характерных точек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3A2363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Y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3A2363">
        <w:trPr>
          <w:cantSplit/>
          <w:jc w:val="center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63" w:rsidRDefault="0088401F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Внешний контур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508894.97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2253488.70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508893.42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2253540.14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508891.62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2253542.72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508859.88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2253542.68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508855.55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2253524.21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508841.95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2253497.60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508839.41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2253498.95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508831.57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2253485.75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508856.57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2253478.46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508859.26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2253477.08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508862.45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2253476.10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508885.64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2253480.83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508891.27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2253483.65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508893.32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2253486.02</w:t>
            </w:r>
          </w:p>
        </w:tc>
      </w:tr>
      <w:tr w:rsidR="003A2363">
        <w:trPr>
          <w:cantSplit/>
          <w:jc w:val="center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63" w:rsidRDefault="0088401F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Внутренний контур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508882.80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2253508.34</w:t>
            </w:r>
          </w:p>
        </w:tc>
      </w:tr>
      <w:tr w:rsidR="003A2363">
        <w:trPr>
          <w:cantSplit/>
          <w:trHeight w:val="277"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508883.57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2253513.01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508881.94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2253513.31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508882.41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2253516.29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508880.80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2253516.50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508881.11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2253518.80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508879.32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2253521.07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508875.44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2253521.51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508874.14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2253520.68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508872.52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2253523.33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508868.52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2253524.08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508865.97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2253522.09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508864.99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2253523.31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508861.21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2253524.03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508858.79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2253522.49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508858.33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2253520.28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508856.70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2253520.45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508856.07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2253517.11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508855.43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2253517.23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508854.84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2253513.75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2253513.64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508854.74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2253510.32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508856.45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2253510.01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508855.07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2253502.26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508862.69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2253500.93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508861.97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2253496.84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508863.23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2253496.62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508862.83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2253494.36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508867.65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2253493.54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508868.06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2253495.75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508869.22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2253495.57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508869.94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2253499.64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508877.55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2253498.26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508878.86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2253506.03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508880.60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2253505.73</w:t>
            </w:r>
          </w:p>
        </w:tc>
      </w:tr>
      <w:tr w:rsidR="003A2363">
        <w:trPr>
          <w:cantSplit/>
          <w:jc w:val="center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508881.08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363" w:rsidRDefault="008840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2253508.71</w:t>
            </w:r>
          </w:p>
        </w:tc>
      </w:tr>
    </w:tbl>
    <w:p w:rsidR="003A2363" w:rsidRDefault="003A2363">
      <w:pPr>
        <w:widowControl w:val="0"/>
        <w:ind w:right="38"/>
        <w:jc w:val="both"/>
        <w:rPr>
          <w:rFonts w:ascii="PT Astra Serif" w:hAnsi="PT Astra Serif" w:cs="PT Astra Serif"/>
          <w:sz w:val="28"/>
          <w:szCs w:val="28"/>
          <w:lang w:bidi="ru-RU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bCs/>
          <w:sz w:val="28"/>
          <w:szCs w:val="28"/>
          <w:lang w:bidi="ru-RU"/>
        </w:rPr>
        <w:sectPr w:rsidR="003A2363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766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>__________________</w:t>
      </w:r>
      <w:r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</w:p>
    <w:p w:rsidR="003A2363" w:rsidRDefault="0088401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постановлению Правительства</w:t>
      </w:r>
    </w:p>
    <w:p w:rsidR="003A2363" w:rsidRDefault="0088401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3A2363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Требования к градостроительным регламентам 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в границах территории зон охраны объекта культурного наследия регионального значения «Церковь Рождества Христова (православная приходская)», 1804–1891 гг., </w:t>
      </w:r>
      <w:r>
        <w:rPr>
          <w:rFonts w:ascii="PT Astra Serif" w:hAnsi="PT Astra Serif"/>
          <w:b/>
          <w:bCs/>
          <w:sz w:val="28"/>
          <w:szCs w:val="28"/>
        </w:rPr>
        <w:t>расположенного по адресу: Ульяновская область, г. Ульяновск, ул. Российская, д. 121</w:t>
      </w:r>
    </w:p>
    <w:p w:rsidR="003A2363" w:rsidRDefault="003A2363">
      <w:pPr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88401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В границах ОЗ – охранной зоны объекта культурного наследия регионального значения «Церковь Рождества Христова (православная приходская)», 1804–1891гг., расположенного по адресу: Ульяновская область, </w:t>
      </w:r>
      <w:r>
        <w:rPr>
          <w:rFonts w:ascii="PT Astra Serif" w:hAnsi="PT Astra Serif"/>
          <w:bCs/>
          <w:sz w:val="28"/>
          <w:szCs w:val="28"/>
        </w:rPr>
        <w:br/>
        <w:t>г. Ульяновск, ул. Российская, д. 121(далее – объект куль</w:t>
      </w:r>
      <w:r>
        <w:rPr>
          <w:rFonts w:ascii="PT Astra Serif" w:hAnsi="PT Astra Serif"/>
          <w:bCs/>
          <w:sz w:val="28"/>
          <w:szCs w:val="28"/>
        </w:rPr>
        <w:t>турного наследия):</w:t>
      </w:r>
    </w:p>
    <w:p w:rsidR="003A2363" w:rsidRDefault="0088401F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1)  запрещается:</w:t>
      </w:r>
    </w:p>
    <w:p w:rsidR="003A2363" w:rsidRDefault="0088401F">
      <w:pPr>
        <w:ind w:firstLine="708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а) строительство объектов капитального строительства, за исключением  линейных объектов, в случае если их запрет не установлен подпунктом «г» пункта 1 настоящих требований, и применения специальных мер, направленных на с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и (или) природной среды);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б) использование строительных технологий, оказывающих негативное воздействие на объект культурного наследия и историческую застройку;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в) размещение взрыво - и пожароопасных объектов, угрожающих сохранности объекта культурного насл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едия;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г)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азначения и (или) объектов капитального строительства, образующих с ним монастырский, храмовый или иной культовый комплекс;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д) реконструкция объектов капитального строительства в параметрах, нарушающих характеристики историко-градостроительной и (или) прир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одной среды или препятствующих ее сохранению и (или) восстановлению, 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е) размещение рекламных конструкций, вывесок, некапитальных стр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оений, сооружений и иных объектов, включая автомобильные стоянки и парковки,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объекта 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 использования;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ж) применение отделочных и стр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зоне охраны объекта культурного наследия, указанных в приложении № 1 к настоящим требованиям;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з) размещение б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 Этот запрет не применяется к базовы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м станциям сотовой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модернизации базовых станций сотовой связи, башенных и антенно-м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ачтовых конструкций, включая телевизионные и радиоантенны, в пределах их объемно-пространственных параметров;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и) использование акватории водных объектов, нарушающее характеристики объекта культурного наследия и его историко-градостроительной и (или) природ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ной среды; 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к) размещение отходов производства и потребления, устройство складов и захоронений ядохимикатов;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2) разрешается:</w:t>
      </w:r>
    </w:p>
    <w:p w:rsidR="003A2363" w:rsidRDefault="0088401F">
      <w:pPr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а) выполнение работ в области благоустройства, если такие работы не оказывают негативного воздействия на объект культурного наследи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я, или не нарушают характеристики его историко-градостроительной среды, или необходимы для обеспечения его функционирования или обеспечения жизнедеятельности населения;</w:t>
      </w:r>
    </w:p>
    <w:p w:rsidR="003A2363" w:rsidRDefault="0088401F">
      <w:pPr>
        <w:ind w:firstLine="540"/>
        <w:jc w:val="both"/>
        <w:rPr>
          <w:sz w:val="28"/>
          <w:szCs w:val="28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б) </w:t>
      </w:r>
      <w:bookmarkStart w:id="3" w:name="_Hlk202454891"/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применение для наружной отделки фасадов объектов капитального строительства цветовых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решений указанных в приложении № 2 к настоящим требованиям;</w:t>
      </w:r>
      <w:bookmarkEnd w:id="3"/>
    </w:p>
    <w:p w:rsidR="003A2363" w:rsidRDefault="003A2363">
      <w:pPr>
        <w:ind w:firstLine="540"/>
        <w:jc w:val="both"/>
        <w:rPr>
          <w:rFonts w:ascii="PT Astra Serif" w:eastAsia="Calibri" w:hAnsi="PT Astra Serif" w:cs="Arial"/>
          <w:color w:val="000000"/>
          <w:sz w:val="27"/>
          <w:szCs w:val="28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lang w:bidi="ru-RU"/>
        </w:rPr>
        <w:sectPr w:rsidR="003A2363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766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>__________________</w:t>
      </w:r>
    </w:p>
    <w:p w:rsidR="003A2363" w:rsidRDefault="0088401F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3A2363" w:rsidRDefault="003A2363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3A2363" w:rsidRDefault="0088401F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bCs/>
          <w:sz w:val="28"/>
          <w:szCs w:val="28"/>
        </w:rPr>
        <w:t>Требованиям</w:t>
      </w:r>
    </w:p>
    <w:p w:rsidR="003A2363" w:rsidRDefault="003A2363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3A2363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отделочных и строительных материалов, применение которых разрешено при ремонте, реставрации, приспособлении для современного использования, при капитальном строительстве зданий и сооружений 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  <w:t xml:space="preserve">в зонах охраны объектов культурного наследия </w:t>
      </w:r>
    </w:p>
    <w:p w:rsidR="003A2363" w:rsidRDefault="003A2363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3A2363" w:rsidRDefault="0088401F">
      <w:pPr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 Профил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ированный металлический лист (профнастил).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Силикатный кирпич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 Бетонные блоки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4. Железобетонные панели и плиты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 Пластиковый сайдинг.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6. Металлический сайдинг.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7. Деревянная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рейка, вагонка, доска без декоративной отделки.</w:t>
      </w:r>
    </w:p>
    <w:p w:rsidR="003A2363" w:rsidRDefault="0088401F">
      <w:pPr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8. Сотовый поликарбонат (кроме монолитного).</w:t>
      </w: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sz w:val="28"/>
          <w:szCs w:val="28"/>
          <w:lang w:eastAsia="en-US" w:bidi="ru-RU"/>
        </w:rPr>
        <w:sectPr w:rsidR="003A2363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850" w:bottom="1134" w:left="1701" w:header="708" w:footer="708" w:gutter="0"/>
          <w:cols w:space="720"/>
          <w:formProt w:val="0"/>
          <w:titlePg/>
          <w:docGrid w:linePitch="360"/>
        </w:sect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__________________</w:t>
      </w:r>
    </w:p>
    <w:p w:rsidR="003A2363" w:rsidRDefault="003A2363">
      <w:pPr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Приложение № 2</w:t>
      </w:r>
    </w:p>
    <w:p w:rsidR="003A2363" w:rsidRDefault="003A2363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Требованиям </w:t>
      </w:r>
    </w:p>
    <w:p w:rsidR="003A2363" w:rsidRDefault="003A2363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A2363" w:rsidRDefault="0088401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применение которых разрешено при строительстве, ремонте, реставрации зданий и сооружений и их частей, а также при строительстве временных объектов </w:t>
      </w:r>
    </w:p>
    <w:tbl>
      <w:tblPr>
        <w:tblStyle w:val="aff5"/>
        <w:tblpPr w:leftFromText="180" w:rightFromText="180" w:vertAnchor="text" w:horzAnchor="margin" w:tblpXSpec="center" w:tblpY="159"/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4250"/>
        <w:gridCol w:w="4723"/>
      </w:tblGrid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3A2363">
        <w:trPr>
          <w:jc w:val="center"/>
        </w:trPr>
        <w:tc>
          <w:tcPr>
            <w:tcW w:w="9606" w:type="dxa"/>
            <w:gridSpan w:val="3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Палевый (бледно-жёлтый с розовым оттенком)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4" w:name="_GoBack"/>
            <w:bookmarkEnd w:id="4"/>
            <w:r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</w:p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r>
              <w:rPr>
                <w:rFonts w:ascii="PT Astra Serif" w:hAnsi="PT Astra Serif"/>
                <w:sz w:val="28"/>
                <w:szCs w:val="28"/>
              </w:rPr>
              <w:t>оттенком голубого; серый</w:t>
            </w:r>
          </w:p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 стальным оттенком; сочетание    светло-серого и бледно-голубого)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Сибирка (зелёно-голубой) с   большой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примесью белой краски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колёрной системе Сaparol «Московская цветовая палитра»</w:t>
            </w:r>
          </w:p>
        </w:tc>
      </w:tr>
      <w:tr w:rsidR="003A2363">
        <w:trPr>
          <w:trHeight w:val="375"/>
          <w:jc w:val="center"/>
        </w:trPr>
        <w:tc>
          <w:tcPr>
            <w:tcW w:w="9606" w:type="dxa"/>
            <w:gridSpan w:val="3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2.Цветовое решение кровли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Медянка (яркая зелёная </w:t>
            </w:r>
            <w:r>
              <w:rPr>
                <w:rFonts w:ascii="PT Astra Serif" w:hAnsi="PT Astra Serif"/>
                <w:sz w:val="28"/>
                <w:szCs w:val="28"/>
              </w:rPr>
              <w:t>краска)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88401F">
        <w:trPr>
          <w:jc w:val="center"/>
        </w:trPr>
        <w:tc>
          <w:tcPr>
            <w:tcW w:w="633" w:type="dxa"/>
            <w:vAlign w:val="center"/>
          </w:tcPr>
          <w:p w:rsid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0" w:type="dxa"/>
            <w:vAlign w:val="center"/>
          </w:tcPr>
          <w:p w:rsid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3" w:type="dxa"/>
            <w:vAlign w:val="center"/>
          </w:tcPr>
          <w:p w:rsidR="0088401F" w:rsidRPr="0088401F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Светло-серый </w:t>
            </w:r>
            <w:r>
              <w:rPr>
                <w:rFonts w:ascii="PT Astra Serif" w:hAnsi="PT Astra Serif"/>
                <w:sz w:val="28"/>
                <w:szCs w:val="28"/>
              </w:rPr>
              <w:t>(сигнальный серый)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3A2363">
        <w:trPr>
          <w:jc w:val="center"/>
        </w:trPr>
        <w:tc>
          <w:tcPr>
            <w:tcW w:w="63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250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23" w:type="dxa"/>
            <w:vAlign w:val="center"/>
          </w:tcPr>
          <w:p w:rsidR="003A2363" w:rsidRDefault="008840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3A2363" w:rsidRDefault="0088401F">
      <w:pPr>
        <w:widowControl w:val="0"/>
        <w:ind w:right="38"/>
        <w:jc w:val="center"/>
        <w:rPr>
          <w:rFonts w:ascii="PT Astra Serif" w:hAnsi="PT Astra Serif" w:cs="PT Astra Serif"/>
          <w:lang w:bidi="ru-RU"/>
        </w:rPr>
      </w:pPr>
      <w:r>
        <w:rPr>
          <w:rFonts w:ascii="PT Astra Serif" w:hAnsi="PT Astra Serif"/>
          <w:bCs/>
          <w:sz w:val="28"/>
          <w:szCs w:val="28"/>
        </w:rPr>
        <w:t>__________________</w:t>
      </w:r>
    </w:p>
    <w:p w:rsidR="003A2363" w:rsidRDefault="003A2363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sectPr w:rsidR="003A2363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401F">
      <w:r>
        <w:separator/>
      </w:r>
    </w:p>
  </w:endnote>
  <w:endnote w:type="continuationSeparator" w:id="0">
    <w:p w:rsidR="00000000" w:rsidRDefault="0088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3A2363">
    <w:pPr>
      <w:pStyle w:val="af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401F">
      <w:r>
        <w:separator/>
      </w:r>
    </w:p>
  </w:footnote>
  <w:footnote w:type="continuationSeparator" w:id="0">
    <w:p w:rsidR="00000000" w:rsidRDefault="0088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88401F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A2363" w:rsidRDefault="0088401F">
                          <w:pPr>
                            <w:pStyle w:val="af2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A2363" w:rsidRDefault="0088401F">
                    <w:pPr>
                      <w:pStyle w:val="af2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4834132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503080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63" w:rsidRDefault="0088401F">
    <w:pPr>
      <w:pStyle w:val="af2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996769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476941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3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831532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605646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460326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130752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>4</w:t>
        </w:r>
        <w:r>
          <w:rPr>
            <w:rFonts w:ascii="PT Astra Serif" w:hAnsi="PT Astra Serif"/>
          </w:rPr>
          <w:fldChar w:fldCharType="end"/>
        </w:r>
      </w:p>
    </w:sdtContent>
  </w:sdt>
  <w:p w:rsidR="003A2363" w:rsidRDefault="003A2363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65734"/>
      <w:docPartObj>
        <w:docPartGallery w:val="Page Numbers (Top of Page)"/>
        <w:docPartUnique/>
      </w:docPartObj>
    </w:sdtPr>
    <w:sdtEndPr/>
    <w:sdtContent>
      <w:p w:rsidR="003A2363" w:rsidRDefault="0088401F">
        <w:pPr>
          <w:pStyle w:val="af2"/>
          <w:jc w:val="center"/>
        </w:pPr>
      </w:p>
    </w:sdtContent>
  </w:sdt>
  <w:p w:rsidR="003A2363" w:rsidRDefault="003A236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63"/>
    <w:rsid w:val="003A2363"/>
    <w:rsid w:val="008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07569-701C-4F2A-AD46-A0CF72DA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uiPriority w:val="99"/>
    <w:unhideWhenUsed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basedOn w:val="a0"/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24">
    <w:name w:val="Абзац списка2"/>
    <w:basedOn w:val="a"/>
    <w:uiPriority w:val="34"/>
    <w:qFormat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Верхний колонтитул слева"/>
    <w:basedOn w:val="af2"/>
    <w:qFormat/>
  </w:style>
  <w:style w:type="numbering" w:customStyle="1" w:styleId="aff4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5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footer" Target="footer9.xml"/><Relationship Id="rId7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footer" Target="footer10.xml"/><Relationship Id="rId10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19" Type="http://schemas.openxmlformats.org/officeDocument/2006/relationships/image" Target="media/image3.png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8D41AA-3F2C-4BE4-B1F1-CF9D44FB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Словцова Анжела Олеговна</dc:creator>
  <dc:description/>
  <cp:lastModifiedBy>Кононова Ксения Андреевна</cp:lastModifiedBy>
  <cp:revision>5</cp:revision>
  <cp:lastPrinted>2025-08-01T06:23:00Z</cp:lastPrinted>
  <dcterms:created xsi:type="dcterms:W3CDTF">2025-07-31T10:41:00Z</dcterms:created>
  <dcterms:modified xsi:type="dcterms:W3CDTF">2025-08-01T06:24:00Z</dcterms:modified>
  <dc:language>ru-RU</dc:language>
</cp:coreProperties>
</file>