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EA1630">
        <w:trPr>
          <w:trHeight w:val="567"/>
        </w:trPr>
        <w:tc>
          <w:tcPr>
            <w:tcW w:w="9853" w:type="dxa"/>
            <w:gridSpan w:val="2"/>
            <w:vAlign w:val="center"/>
          </w:tcPr>
          <w:p w:rsidR="00EA1630" w:rsidRDefault="0049292E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ПРАВИТЕЛЬСТВО УЛЬЯНОВСКОЙ ОБЛАСТИ</w:t>
            </w:r>
          </w:p>
        </w:tc>
      </w:tr>
      <w:tr w:rsidR="00EA1630">
        <w:trPr>
          <w:trHeight w:val="567"/>
        </w:trPr>
        <w:tc>
          <w:tcPr>
            <w:tcW w:w="9853" w:type="dxa"/>
            <w:gridSpan w:val="2"/>
            <w:vAlign w:val="center"/>
          </w:tcPr>
          <w:p w:rsidR="00EA1630" w:rsidRDefault="0049292E">
            <w:pPr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>
              <w:rPr>
                <w:rFonts w:ascii="PT Astra Serif" w:hAnsi="PT Astra Serif" w:cs="PT Astra Serif"/>
                <w:b/>
              </w:rPr>
              <w:t>П</w:t>
            </w:r>
            <w:proofErr w:type="gramEnd"/>
            <w:r>
              <w:rPr>
                <w:rFonts w:ascii="PT Astra Serif" w:hAnsi="PT Astra Serif" w:cs="PT Astra Serif"/>
                <w:b/>
              </w:rPr>
              <w:t xml:space="preserve"> О С Т А Н О В Л Е Н И Е</w:t>
            </w:r>
          </w:p>
        </w:tc>
      </w:tr>
      <w:tr w:rsidR="00EA1630">
        <w:trPr>
          <w:trHeight w:val="1134"/>
        </w:trPr>
        <w:tc>
          <w:tcPr>
            <w:tcW w:w="4927" w:type="dxa"/>
            <w:vAlign w:val="bottom"/>
          </w:tcPr>
          <w:p w:rsidR="00EA1630" w:rsidRDefault="00EA1630">
            <w:pPr>
              <w:snapToGrid w:val="0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4926" w:type="dxa"/>
            <w:vAlign w:val="bottom"/>
          </w:tcPr>
          <w:p w:rsidR="00EA1630" w:rsidRDefault="00EA1630">
            <w:pPr>
              <w:snapToGrid w:val="0"/>
              <w:jc w:val="right"/>
              <w:rPr>
                <w:rFonts w:ascii="PT Astra Serif" w:hAnsi="PT Astra Serif" w:cs="PT Astra Serif"/>
                <w:b/>
              </w:rPr>
            </w:pPr>
          </w:p>
        </w:tc>
      </w:tr>
    </w:tbl>
    <w:p w:rsidR="00EA1630" w:rsidRDefault="0049292E">
      <w:pPr>
        <w:ind w:firstLine="737"/>
        <w:jc w:val="center"/>
        <w:rPr>
          <w:b/>
          <w:bCs/>
        </w:rPr>
      </w:pPr>
      <w:r>
        <w:rPr>
          <w:rFonts w:ascii="PT Astra Serif" w:hAnsi="PT Astra Serif"/>
          <w:b/>
          <w:bCs/>
        </w:rPr>
        <w:t>О внесении изменений в постановление</w:t>
      </w:r>
    </w:p>
    <w:p w:rsidR="00EA1630" w:rsidRDefault="0049292E">
      <w:pPr>
        <w:ind w:firstLine="737"/>
        <w:jc w:val="center"/>
        <w:rPr>
          <w:b/>
          <w:bCs/>
        </w:rPr>
      </w:pPr>
      <w:r>
        <w:rPr>
          <w:rFonts w:ascii="PT Astra Serif" w:hAnsi="PT Astra Serif"/>
          <w:b/>
          <w:bCs/>
        </w:rPr>
        <w:t>Правительства Ульяновской области от 24.12.2021 № 700-П</w:t>
      </w:r>
    </w:p>
    <w:p w:rsidR="00EA1630" w:rsidRDefault="00EA1630">
      <w:pPr>
        <w:ind w:firstLine="737"/>
        <w:jc w:val="both"/>
        <w:rPr>
          <w:rFonts w:ascii="PT Astra Serif" w:hAnsi="PT Astra Serif"/>
        </w:rPr>
      </w:pPr>
    </w:p>
    <w:p w:rsidR="00EA1630" w:rsidRDefault="0049292E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Правительство Ульяновской области  </w:t>
      </w:r>
      <w:proofErr w:type="gramStart"/>
      <w:r>
        <w:rPr>
          <w:rFonts w:ascii="PT Astra Serif" w:hAnsi="PT Astra Serif"/>
        </w:rPr>
        <w:t>п</w:t>
      </w:r>
      <w:proofErr w:type="gramEnd"/>
      <w:r>
        <w:rPr>
          <w:rFonts w:ascii="PT Astra Serif" w:hAnsi="PT Astra Serif"/>
        </w:rPr>
        <w:t xml:space="preserve"> о с т а н о в л я е т:</w:t>
      </w:r>
    </w:p>
    <w:p w:rsidR="00EA1630" w:rsidRDefault="0049292E">
      <w:pPr>
        <w:ind w:firstLine="737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</w:rPr>
        <w:t>1. Внести в Положение о региональном</w:t>
      </w:r>
      <w:r>
        <w:rPr>
          <w:rFonts w:ascii="PT Astra Serif" w:hAnsi="PT Astra Serif"/>
        </w:rPr>
        <w:t xml:space="preserve"> государственном контроле (надзоре) в области розничной продажи алкогольной и спиртосодержащей продукции на территории Ульяновской области, утверждённое постановлением Правительства Ульяновской области от 24.12.2021 № 700-П «</w:t>
      </w:r>
      <w:r>
        <w:rPr>
          <w:rFonts w:ascii="PT Astra Serif" w:hAnsi="PT Astra Serif"/>
          <w:lang w:eastAsia="zh-TW"/>
        </w:rPr>
        <w:t>Об утверждении По</w:t>
      </w:r>
      <w:r>
        <w:rPr>
          <w:rFonts w:ascii="PT Astra Serif" w:hAnsi="PT Astra Serif"/>
        </w:rPr>
        <w:t>ложения</w:t>
      </w:r>
      <w:r>
        <w:rPr>
          <w:rFonts w:ascii="PT Astra Serif" w:hAnsi="PT Astra Serif"/>
          <w:lang w:eastAsia="zh-TW"/>
        </w:rPr>
        <w:t xml:space="preserve">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lang w:eastAsia="zh-TW"/>
        </w:rPr>
        <w:t xml:space="preserve"> реги</w:t>
      </w:r>
      <w:r>
        <w:rPr>
          <w:rFonts w:ascii="PT Astra Serif" w:hAnsi="PT Astra Serif"/>
          <w:lang w:eastAsia="zh-TW"/>
        </w:rPr>
        <w:t>онально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lang w:eastAsia="zh-TW"/>
        </w:rPr>
        <w:t xml:space="preserve"> государственно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lang w:eastAsia="zh-TW"/>
        </w:rPr>
        <w:t xml:space="preserve"> контрол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lang w:eastAsia="zh-TW"/>
        </w:rPr>
        <w:t xml:space="preserve"> (надзоре) в области розничной продажи алкогольной и спиртосодержащей продукции</w:t>
      </w:r>
      <w:r>
        <w:rPr>
          <w:rFonts w:ascii="PT Astra Serif" w:hAnsi="PT Astra Serif"/>
          <w:lang w:eastAsia="zh-TW"/>
        </w:rPr>
        <w:br/>
        <w:t>на территории Ульяновской области», следующие изменения:</w:t>
      </w:r>
    </w:p>
    <w:p w:rsidR="00265E8B" w:rsidRDefault="00265E8B">
      <w:pPr>
        <w:ind w:firstLine="737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1) в разделе 1:</w:t>
      </w:r>
    </w:p>
    <w:p w:rsidR="00265E8B" w:rsidRDefault="00265E8B">
      <w:pPr>
        <w:ind w:firstLine="737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а) в подпункте 1 пункта 1.2 слова «агропромышленного комплекса</w:t>
      </w:r>
      <w:r>
        <w:rPr>
          <w:rFonts w:ascii="PT Astra Serif" w:hAnsi="PT Astra Serif"/>
          <w:lang w:eastAsia="zh-TW"/>
        </w:rPr>
        <w:br/>
        <w:t>и развития сельских территорий» заменить словами «экономического развития»;</w:t>
      </w:r>
    </w:p>
    <w:p w:rsidR="00265E8B" w:rsidRDefault="00265E8B">
      <w:pPr>
        <w:ind w:firstLine="737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б) в пункте 1.3 слова «агропромышленного комплекса и развития сельских территорий» заменить словами «экономического развития»;</w:t>
      </w:r>
    </w:p>
    <w:p w:rsidR="00265E8B" w:rsidRDefault="00265E8B">
      <w:pPr>
        <w:ind w:firstLine="737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в) в пункте 1.4 слова «агропромышленного комплекса и развития сельских территорий» заменить словами «экономического развития»;</w:t>
      </w:r>
    </w:p>
    <w:p w:rsidR="00EA1630" w:rsidRDefault="00265E8B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TW"/>
        </w:rPr>
        <w:t>г</w:t>
      </w:r>
      <w:r w:rsidR="0049292E">
        <w:rPr>
          <w:rFonts w:ascii="PT Astra Serif" w:hAnsi="PT Astra Serif"/>
          <w:lang w:eastAsia="zh-TW"/>
        </w:rPr>
        <w:t xml:space="preserve">) пункт 1.7 </w:t>
      </w:r>
      <w:r w:rsidR="0049292E">
        <w:rPr>
          <w:rFonts w:ascii="PT Astra Serif" w:hAnsi="PT Astra Serif"/>
          <w:lang w:eastAsia="zh-TW"/>
        </w:rPr>
        <w:t>изложить в следующей редакции:</w:t>
      </w:r>
    </w:p>
    <w:p w:rsidR="00EA1630" w:rsidRDefault="0049292E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TW"/>
        </w:rPr>
        <w:t>«</w:t>
      </w:r>
      <w:r w:rsidR="00265E8B">
        <w:rPr>
          <w:rFonts w:ascii="PT Astra Serif" w:hAnsi="PT Astra Serif"/>
          <w:lang w:eastAsia="zh-TW"/>
        </w:rPr>
        <w:t xml:space="preserve">1.7. </w:t>
      </w:r>
      <w:proofErr w:type="gramStart"/>
      <w:r>
        <w:rPr>
          <w:rFonts w:ascii="PT Astra Serif" w:hAnsi="PT Astra Serif"/>
          <w:lang w:eastAsia="zh-TW"/>
        </w:rPr>
        <w:t xml:space="preserve">Министерство ведёт перечень объектов регионального контроля (надзора), указанный в подпункте «е» пункта 5 Правил формирования и ведения </w:t>
      </w:r>
      <w:r>
        <w:rPr>
          <w:rFonts w:ascii="PT Astra Serif" w:hAnsi="PT Astra Serif"/>
        </w:rPr>
        <w:t>единого реестра видов федерального государственного контроля (надзора), регионального государственного контроля (надзор</w:t>
      </w:r>
      <w:r>
        <w:rPr>
          <w:rFonts w:ascii="PT Astra Serif" w:hAnsi="PT Astra Serif"/>
        </w:rPr>
        <w:t>а), муниципального контроля, являющихся приложением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утверждённым постановлением Правительства Российской Федерац</w:t>
      </w:r>
      <w:r>
        <w:rPr>
          <w:rFonts w:ascii="PT Astra Serif" w:hAnsi="PT Astra Serif"/>
        </w:rPr>
        <w:t>ии от 24.10.2011 № 861</w:t>
      </w:r>
      <w:r>
        <w:rPr>
          <w:rFonts w:ascii="PT Astra Serif" w:hAnsi="PT Astra Serif"/>
        </w:rPr>
        <w:br/>
        <w:t>«О федеральных государственных информационных системах</w:t>
      </w:r>
      <w:proofErr w:type="gramEnd"/>
      <w:r>
        <w:rPr>
          <w:rFonts w:ascii="PT Astra Serif" w:hAnsi="PT Astra Serif"/>
        </w:rPr>
        <w:t>, обеспечивающих предоставление в электронной форме государственных</w:t>
      </w:r>
      <w:r>
        <w:rPr>
          <w:rFonts w:ascii="PT Astra Serif" w:hAnsi="PT Astra Serif"/>
        </w:rPr>
        <w:br/>
        <w:t>и муниципальных услуг (осуществление функций)» (далее также — перечень объектов регионального контроля (надзора</w:t>
      </w:r>
      <w:r>
        <w:rPr>
          <w:rFonts w:ascii="PT Astra Serif" w:hAnsi="PT Astra Serif"/>
        </w:rPr>
        <w:t xml:space="preserve">), Правила формирования и ведения </w:t>
      </w:r>
      <w:proofErr w:type="spellStart"/>
      <w:proofErr w:type="gramStart"/>
      <w:r>
        <w:rPr>
          <w:rFonts w:ascii="PT Astra Serif" w:hAnsi="PT Astra Serif"/>
        </w:rPr>
        <w:t>ведения</w:t>
      </w:r>
      <w:proofErr w:type="spellEnd"/>
      <w:proofErr w:type="gramEnd"/>
      <w:r>
        <w:rPr>
          <w:rFonts w:ascii="PT Astra Serif" w:hAnsi="PT Astra Serif"/>
        </w:rPr>
        <w:t xml:space="preserve"> единого реестра видов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— е</w:t>
      </w:r>
      <w:r>
        <w:rPr>
          <w:rFonts w:ascii="PT Astra Serif" w:hAnsi="PT Astra Serif"/>
        </w:rPr>
        <w:t>диный реестр) и публикует часть официального сайта единого реестра в информационно-телекоммуникационной сети «Интернет» для отображения перечня объектов регионального контроля (надзора) (</w:t>
      </w:r>
      <w:proofErr w:type="spellStart"/>
      <w:r>
        <w:rPr>
          <w:rFonts w:ascii="PT Astra Serif" w:hAnsi="PT Astra Serif"/>
        </w:rPr>
        <w:t>виджет</w:t>
      </w:r>
      <w:proofErr w:type="spellEnd"/>
      <w:r>
        <w:rPr>
          <w:rFonts w:ascii="PT Astra Serif" w:hAnsi="PT Astra Serif"/>
        </w:rPr>
        <w:t>)</w:t>
      </w:r>
      <w:r>
        <w:rPr>
          <w:rFonts w:ascii="PT Astra Serif" w:hAnsi="PT Astra Serif"/>
        </w:rPr>
        <w:br/>
        <w:t>на официальном сайте Министерства в информационно-телекоммуни</w:t>
      </w:r>
      <w:r>
        <w:rPr>
          <w:rFonts w:ascii="PT Astra Serif" w:hAnsi="PT Astra Serif"/>
        </w:rPr>
        <w:t>кационной сети «Интернет</w:t>
      </w:r>
      <w:r>
        <w:rPr>
          <w:rFonts w:ascii="PT Astra Serif" w:hAnsi="PT Astra Serif"/>
          <w:lang w:eastAsia="zh-TW"/>
        </w:rPr>
        <w:t>»</w:t>
      </w:r>
      <w:proofErr w:type="gramStart"/>
      <w:r>
        <w:rPr>
          <w:rFonts w:ascii="PT Astra Serif" w:hAnsi="PT Astra Serif"/>
          <w:lang w:eastAsia="zh-TW"/>
        </w:rPr>
        <w:t>.»</w:t>
      </w:r>
      <w:proofErr w:type="gramEnd"/>
      <w:r>
        <w:rPr>
          <w:rFonts w:ascii="PT Astra Serif" w:hAnsi="PT Astra Serif"/>
          <w:lang w:eastAsia="zh-TW"/>
        </w:rPr>
        <w:t>;</w:t>
      </w:r>
    </w:p>
    <w:p w:rsidR="00EA1630" w:rsidRDefault="0049292E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TW"/>
        </w:rPr>
        <w:t>2</w:t>
      </w:r>
      <w:r>
        <w:rPr>
          <w:rFonts w:ascii="PT Astra Serif" w:hAnsi="PT Astra Serif"/>
          <w:lang w:eastAsia="zh-TW"/>
        </w:rPr>
        <w:t>) в разделе 2:</w:t>
      </w:r>
    </w:p>
    <w:p w:rsidR="00EA1630" w:rsidRDefault="0049292E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TW"/>
        </w:rPr>
        <w:lastRenderedPageBreak/>
        <w:t>а) пункт 2.3 изложить в следующей редакции:</w:t>
      </w:r>
    </w:p>
    <w:p w:rsidR="00EA1630" w:rsidRDefault="0049292E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TW"/>
        </w:rPr>
        <w:t xml:space="preserve">«2.3. </w:t>
      </w:r>
      <w:proofErr w:type="gramStart"/>
      <w:r>
        <w:rPr>
          <w:rFonts w:ascii="PT Astra Serif" w:hAnsi="PT Astra Serif"/>
        </w:rPr>
        <w:t>Решения об отнесении объектов контроля к категории риска принимаются путём подписания в порядке, установленном пункт</w:t>
      </w:r>
      <w:r>
        <w:rPr>
          <w:rFonts w:ascii="PT Astra Serif" w:hAnsi="PT Astra Serif"/>
        </w:rPr>
        <w:t>ом</w:t>
      </w:r>
      <w:r>
        <w:rPr>
          <w:rFonts w:ascii="PT Astra Serif" w:hAnsi="PT Astra Serif"/>
        </w:rPr>
        <w:t xml:space="preserve"> 13 </w:t>
      </w:r>
      <w:r>
        <w:rPr>
          <w:rFonts w:ascii="PT Astra Serif" w:hAnsi="PT Astra Serif"/>
        </w:rPr>
        <w:t>Правил формирования и ведения единого р</w:t>
      </w:r>
      <w:r>
        <w:rPr>
          <w:rFonts w:ascii="PT Astra Serif" w:hAnsi="PT Astra Serif"/>
        </w:rPr>
        <w:t>еестра видов контроля, данных об объекте контроля с указанием сведений о контролируемом лице, описания объекта контроля и присвоенной категории риска в перечне объектов регионального контроля (надзора).</w:t>
      </w:r>
      <w:r>
        <w:rPr>
          <w:rFonts w:ascii="PT Astra Serif" w:hAnsi="PT Astra Serif"/>
          <w:lang w:eastAsia="zh-TW"/>
        </w:rPr>
        <w:t>»;</w:t>
      </w:r>
      <w:proofErr w:type="gramEnd"/>
    </w:p>
    <w:p w:rsidR="00EA1630" w:rsidRDefault="0049292E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TW"/>
        </w:rPr>
        <w:t>б</w:t>
      </w:r>
      <w:r>
        <w:rPr>
          <w:rFonts w:ascii="PT Astra Serif" w:hAnsi="PT Astra Serif"/>
          <w:lang w:eastAsia="zh-TW"/>
        </w:rPr>
        <w:t>) дополнить пунктом 2.3</w:t>
      </w:r>
      <w:r>
        <w:rPr>
          <w:rFonts w:ascii="PT Astra Serif" w:hAnsi="PT Astra Serif"/>
          <w:vertAlign w:val="superscript"/>
          <w:lang w:eastAsia="zh-TW"/>
        </w:rPr>
        <w:t>1</w:t>
      </w:r>
      <w:r>
        <w:rPr>
          <w:rFonts w:ascii="PT Astra Serif" w:hAnsi="PT Astra Serif"/>
          <w:lang w:eastAsia="zh-TW"/>
        </w:rPr>
        <w:t xml:space="preserve"> следующего содержания:</w:t>
      </w:r>
    </w:p>
    <w:p w:rsidR="00EA1630" w:rsidRDefault="0049292E">
      <w:pPr>
        <w:pStyle w:val="Standard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При отнесении объектов контроля к категории риска учитывается добросовестность контролируемых лиц. Оценка добросовестности контролируемых лиц </w:t>
      </w:r>
      <w:r>
        <w:rPr>
          <w:rFonts w:ascii="PT Astra Serif" w:hAnsi="PT Astra Serif"/>
          <w:sz w:val="28"/>
          <w:szCs w:val="28"/>
        </w:rPr>
        <w:t>осуществляется</w:t>
      </w:r>
      <w:r>
        <w:rPr>
          <w:rFonts w:ascii="PT Astra Serif" w:hAnsi="PT Astra Serif"/>
          <w:sz w:val="28"/>
          <w:szCs w:val="28"/>
        </w:rPr>
        <w:t xml:space="preserve"> с учётом </w:t>
      </w:r>
      <w:proofErr w:type="gramStart"/>
      <w:r>
        <w:rPr>
          <w:rFonts w:ascii="PT Astra Serif" w:hAnsi="PT Astra Serif"/>
          <w:sz w:val="28"/>
          <w:szCs w:val="28"/>
        </w:rPr>
        <w:t>сведений</w:t>
      </w:r>
      <w:proofErr w:type="gramEnd"/>
      <w:r>
        <w:rPr>
          <w:rFonts w:ascii="PT Astra Serif" w:hAnsi="PT Astra Serif"/>
          <w:sz w:val="28"/>
          <w:szCs w:val="28"/>
        </w:rPr>
        <w:t xml:space="preserve"> о проведении контролируемым лицом мероприятия по снижению риска причинения</w:t>
      </w:r>
      <w:r>
        <w:rPr>
          <w:rFonts w:ascii="PT Astra Serif" w:hAnsi="PT Astra Serif"/>
          <w:sz w:val="28"/>
          <w:szCs w:val="28"/>
        </w:rPr>
        <w:t xml:space="preserve"> вреда (ущерба) и предотвращению вреда (ущерба) охраняемым законом ценностям в форме реализации права контролируемого лица на проведение профилактического визита по заявлению, предусмотренного частью 10 статьи 52 Федерального закона от 31.07.2020 № 248-ФЗ </w:t>
      </w:r>
      <w:r>
        <w:rPr>
          <w:rFonts w:ascii="PT Astra Serif" w:hAnsi="PT Astra Serif"/>
          <w:sz w:val="28"/>
          <w:szCs w:val="28"/>
        </w:rPr>
        <w:t>(далее — профилактический визит по заявлению контролируемого лица).</w:t>
      </w:r>
    </w:p>
    <w:p w:rsidR="00EA1630" w:rsidRDefault="0049292E">
      <w:pPr>
        <w:pStyle w:val="Standard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проведения профилактического визита по заявлению контролируемого лица объекты контроля данного контролируемого лица, относящиеся к категории среднего и умеренного риска, считаются</w:t>
      </w:r>
      <w:r>
        <w:rPr>
          <w:rFonts w:ascii="PT Astra Serif" w:hAnsi="PT Astra Serif"/>
          <w:sz w:val="28"/>
          <w:szCs w:val="28"/>
        </w:rPr>
        <w:t xml:space="preserve"> отн</w:t>
      </w:r>
      <w:r>
        <w:rPr>
          <w:rFonts w:ascii="PT Astra Serif" w:hAnsi="PT Astra Serif"/>
          <w:sz w:val="28"/>
          <w:szCs w:val="28"/>
        </w:rPr>
        <w:t>есёнными</w:t>
      </w:r>
      <w:r>
        <w:rPr>
          <w:rFonts w:ascii="PT Astra Serif" w:hAnsi="PT Astra Serif"/>
          <w:sz w:val="28"/>
          <w:szCs w:val="28"/>
        </w:rPr>
        <w:t xml:space="preserve"> к категории умеренного и низкого риска соответственно в течение года после проведения профилактического визита по заявлению контролируемого лица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EA1630" w:rsidRDefault="0049292E">
      <w:pPr>
        <w:pStyle w:val="Standard"/>
        <w:ind w:firstLine="737"/>
        <w:jc w:val="both"/>
      </w:pPr>
      <w:r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) абзац </w:t>
      </w:r>
      <w:r>
        <w:rPr>
          <w:rFonts w:ascii="PT Astra Serif" w:hAnsi="PT Astra Serif"/>
          <w:sz w:val="28"/>
          <w:szCs w:val="28"/>
        </w:rPr>
        <w:t>второй</w:t>
      </w:r>
      <w:r>
        <w:rPr>
          <w:rFonts w:ascii="PT Astra Serif" w:hAnsi="PT Astra Serif"/>
          <w:sz w:val="28"/>
          <w:szCs w:val="28"/>
        </w:rPr>
        <w:t xml:space="preserve"> пункта 4.7 раздела 4 после слов «статьи 57» дополнить словами «и части 7 статьи</w:t>
      </w:r>
      <w:r>
        <w:rPr>
          <w:rFonts w:ascii="PT Astra Serif" w:hAnsi="PT Astra Serif"/>
          <w:sz w:val="28"/>
          <w:szCs w:val="28"/>
        </w:rPr>
        <w:t xml:space="preserve"> 75»;</w:t>
      </w:r>
    </w:p>
    <w:p w:rsidR="00EA1630" w:rsidRDefault="0049292E">
      <w:pPr>
        <w:pStyle w:val="Standard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раздел 7 изложить в следующей редакции:</w:t>
      </w:r>
    </w:p>
    <w:p w:rsidR="00EA1630" w:rsidRDefault="0049292E">
      <w:pPr>
        <w:pStyle w:val="Standard"/>
        <w:jc w:val="center"/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 xml:space="preserve">7. Ключевые и индикативные показатели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регионального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EA1630" w:rsidRDefault="0049292E">
      <w:pPr>
        <w:pStyle w:val="Standard"/>
        <w:jc w:val="center"/>
        <w:rPr>
          <w:b/>
          <w:bCs/>
        </w:rPr>
      </w:pPr>
      <w:r>
        <w:rPr>
          <w:rFonts w:ascii="PT Astra Serif" w:hAnsi="PT Astra Serif"/>
          <w:b/>
          <w:bCs/>
          <w:sz w:val="28"/>
          <w:szCs w:val="28"/>
        </w:rPr>
        <w:t>государственного контроля (надзора)</w:t>
      </w:r>
    </w:p>
    <w:p w:rsidR="00EA1630" w:rsidRDefault="00EA1630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EA1630" w:rsidRDefault="0049292E">
      <w:pPr>
        <w:ind w:firstLine="737"/>
        <w:jc w:val="both"/>
      </w:pPr>
      <w:r>
        <w:rPr>
          <w:rFonts w:ascii="PT Astra Serif" w:hAnsi="PT Astra Serif"/>
        </w:rPr>
        <w:t>Перечень ключевых и индикативных показателей регионального государственного контроля (надзора) приведён в приложени</w:t>
      </w:r>
      <w:r>
        <w:rPr>
          <w:rFonts w:ascii="PT Astra Serif" w:hAnsi="PT Astra Serif"/>
        </w:rPr>
        <w:t>и к настоящему Положению</w:t>
      </w:r>
      <w:proofErr w:type="gramStart"/>
      <w:r>
        <w:rPr>
          <w:rFonts w:ascii="PT Astra Serif" w:hAnsi="PT Astra Serif"/>
        </w:rPr>
        <w:t>.»;</w:t>
      </w:r>
      <w:proofErr w:type="gramEnd"/>
    </w:p>
    <w:p w:rsidR="00EA1630" w:rsidRDefault="001C55F9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49292E">
        <w:rPr>
          <w:rFonts w:ascii="PT Astra Serif" w:hAnsi="PT Astra Serif"/>
        </w:rPr>
        <w:t>) приложение к Положению изложить в следующей редакции:</w:t>
      </w: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1630" w:rsidRDefault="00EA1630">
      <w:pPr>
        <w:pStyle w:val="Standard"/>
        <w:ind w:firstLine="737"/>
        <w:jc w:val="center"/>
        <w:rPr>
          <w:rFonts w:ascii="PT Astra Serif" w:hAnsi="PT Astra Serif"/>
          <w:b/>
          <w:bCs/>
          <w:sz w:val="28"/>
          <w:szCs w:val="28"/>
        </w:rPr>
        <w:sectPr w:rsidR="00EA1630" w:rsidSect="00BE5522">
          <w:headerReference w:type="default" r:id="rId8"/>
          <w:pgSz w:w="11906" w:h="16838"/>
          <w:pgMar w:top="816" w:right="566" w:bottom="567" w:left="1701" w:header="142" w:footer="0" w:gutter="0"/>
          <w:cols w:space="720"/>
          <w:formProt w:val="0"/>
          <w:titlePg/>
          <w:docGrid w:linePitch="381"/>
        </w:sectPr>
      </w:pPr>
    </w:p>
    <w:p w:rsidR="00EA1630" w:rsidRDefault="0049292E">
      <w:pPr>
        <w:spacing w:line="228" w:lineRule="auto"/>
        <w:ind w:left="11624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</w:rPr>
        <w:lastRenderedPageBreak/>
        <w:t xml:space="preserve">«ПРИЛОЖЕНИЕ </w:t>
      </w:r>
    </w:p>
    <w:p w:rsidR="00EA1630" w:rsidRDefault="0049292E">
      <w:pPr>
        <w:spacing w:line="228" w:lineRule="auto"/>
        <w:ind w:left="11624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</w:rPr>
        <w:t>к Положению</w:t>
      </w:r>
    </w:p>
    <w:p w:rsidR="00EA1630" w:rsidRDefault="00EA1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PT Astra Serif" w:hAnsi="PT Astra Serif" w:cs="PT Astra Serif"/>
        </w:rPr>
      </w:pPr>
    </w:p>
    <w:p w:rsidR="00EA1630" w:rsidRDefault="00EA1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PT Astra Serif" w:hAnsi="PT Astra Serif" w:cs="PT Astra Serif"/>
          <w:b/>
        </w:rPr>
      </w:pPr>
    </w:p>
    <w:p w:rsidR="00EA1630" w:rsidRDefault="00EA1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PT Astra Serif" w:hAnsi="PT Astra Serif" w:cs="PT Astra Serif"/>
          <w:b/>
        </w:rPr>
      </w:pPr>
    </w:p>
    <w:p w:rsidR="00EA1630" w:rsidRDefault="0049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 xml:space="preserve">Ключевые и индикативные </w:t>
      </w:r>
      <w:r>
        <w:rPr>
          <w:rFonts w:ascii="PT Astra Serif" w:hAnsi="PT Astra Serif" w:cs="PT Astra Serif"/>
          <w:b/>
        </w:rPr>
        <w:t>показатели</w:t>
      </w:r>
    </w:p>
    <w:p w:rsidR="00EA1630" w:rsidRDefault="0049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 xml:space="preserve">регионального государственного контроля (надзора) в области розничной продажи алкогольной </w:t>
      </w:r>
      <w:r>
        <w:rPr>
          <w:rFonts w:ascii="PT Astra Serif" w:hAnsi="PT Astra Serif"/>
          <w:b/>
          <w:bCs/>
          <w:color w:val="000000"/>
        </w:rPr>
        <w:br/>
        <w:t>и спиртосодержащей продукции на территории Ульяновской области</w:t>
      </w:r>
    </w:p>
    <w:p w:rsidR="00EA1630" w:rsidRDefault="00EA1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PT Astra Serif" w:hAnsi="PT Astra Serif"/>
        </w:rPr>
      </w:pPr>
    </w:p>
    <w:p w:rsidR="00EA1630" w:rsidRDefault="00EA1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PT Astra Serif" w:hAnsi="PT Astra Serif" w:cs="PT Astra Serif"/>
          <w:b/>
        </w:rPr>
      </w:pPr>
    </w:p>
    <w:tbl>
      <w:tblPr>
        <w:tblW w:w="15473" w:type="dxa"/>
        <w:tblInd w:w="-323" w:type="dxa"/>
        <w:tblLook w:val="0000" w:firstRow="0" w:lastRow="0" w:firstColumn="0" w:lastColumn="0" w:noHBand="0" w:noVBand="0"/>
      </w:tblPr>
      <w:tblGrid>
        <w:gridCol w:w="1140"/>
        <w:gridCol w:w="3002"/>
        <w:gridCol w:w="6794"/>
        <w:gridCol w:w="1422"/>
        <w:gridCol w:w="3115"/>
      </w:tblGrid>
      <w:tr w:rsidR="00EA1630"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Номер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/п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Формула расчёта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показателя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Целевое значение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показател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17" w:right="-4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Источник данных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17" w:right="-4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для определения значения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17" w:right="-4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показателя</w:t>
            </w:r>
          </w:p>
        </w:tc>
      </w:tr>
    </w:tbl>
    <w:p w:rsidR="00EA1630" w:rsidRDefault="00EA1630">
      <w:pPr>
        <w:spacing w:line="0" w:lineRule="auto"/>
        <w:rPr>
          <w:sz w:val="2"/>
          <w:szCs w:val="2"/>
        </w:rPr>
      </w:pPr>
    </w:p>
    <w:tbl>
      <w:tblPr>
        <w:tblW w:w="15473" w:type="dxa"/>
        <w:tblInd w:w="-323" w:type="dxa"/>
        <w:tblLook w:val="0000" w:firstRow="0" w:lastRow="0" w:firstColumn="0" w:lastColumn="0" w:noHBand="0" w:noVBand="0"/>
      </w:tblPr>
      <w:tblGrid>
        <w:gridCol w:w="1140"/>
        <w:gridCol w:w="3002"/>
        <w:gridCol w:w="6794"/>
        <w:gridCol w:w="1422"/>
        <w:gridCol w:w="3115"/>
      </w:tblGrid>
      <w:tr w:rsidR="00EA1630">
        <w:trPr>
          <w:tblHeader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17" w:right="-4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</w:tr>
      <w:tr w:rsidR="00EA1630">
        <w:tc>
          <w:tcPr>
            <w:tcW w:w="15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Ключевые показатели</w:t>
            </w:r>
          </w:p>
        </w:tc>
      </w:tr>
      <w:tr w:rsidR="00EA1630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pStyle w:val="ConsPlusNormal0"/>
              <w:spacing w:line="228" w:lineRule="auto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/>
                <w:sz w:val="24"/>
              </w:rPr>
              <w:t xml:space="preserve">Объём легальных розничных продаж алкогольной продукции </w:t>
            </w:r>
            <w:bookmarkStart w:id="0" w:name="__DdeLink__156_663159643"/>
            <w:bookmarkEnd w:id="0"/>
            <w:r>
              <w:rPr>
                <w:rFonts w:ascii="PT Astra Serif" w:hAnsi="PT Astra Serif" w:cs="PT Astra Serif"/>
                <w:sz w:val="24"/>
              </w:rPr>
              <w:t xml:space="preserve">(за исключением пива) на душу совершеннолетнего населения, </w:t>
            </w:r>
            <w:proofErr w:type="gramStart"/>
            <w:r>
              <w:rPr>
                <w:rFonts w:ascii="PT Astra Serif" w:hAnsi="PT Astra Serif" w:cs="PT Astra Serif"/>
                <w:sz w:val="24"/>
              </w:rPr>
              <w:t>л</w:t>
            </w:r>
            <w:proofErr w:type="gramEnd"/>
            <w:r>
              <w:rPr>
                <w:rFonts w:ascii="PT Astra Serif" w:hAnsi="PT Astra Serif" w:cs="PT Astra Serif"/>
                <w:sz w:val="24"/>
              </w:rPr>
              <w:t>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pStyle w:val="ConsPlusNormal0"/>
              <w:spacing w:line="228" w:lineRule="auto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 w:val="24"/>
              </w:rPr>
              <w:t xml:space="preserve">О / Ч, где: </w:t>
            </w:r>
          </w:p>
          <w:p w:rsidR="00EA1630" w:rsidRDefault="0049292E">
            <w:pPr>
              <w:pStyle w:val="ConsPlusNormal0"/>
              <w:spacing w:line="228" w:lineRule="auto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 w:val="24"/>
              </w:rPr>
              <w:t xml:space="preserve">О – объём легальных розничных </w:t>
            </w:r>
            <w:r>
              <w:rPr>
                <w:rFonts w:ascii="PT Astra Serif" w:hAnsi="PT Astra Serif" w:cs="PT Astra Serif"/>
                <w:sz w:val="24"/>
              </w:rPr>
              <w:t xml:space="preserve">продаж алкогольной продукции (за исключением пива), </w:t>
            </w:r>
            <w:proofErr w:type="gramStart"/>
            <w:r>
              <w:rPr>
                <w:rFonts w:ascii="PT Astra Serif" w:hAnsi="PT Astra Serif" w:cs="PT Astra Serif"/>
                <w:sz w:val="24"/>
              </w:rPr>
              <w:t>л</w:t>
            </w:r>
            <w:proofErr w:type="gramEnd"/>
            <w:r>
              <w:rPr>
                <w:rFonts w:ascii="PT Astra Serif" w:hAnsi="PT Astra Serif" w:cs="PT Astra Serif"/>
                <w:sz w:val="24"/>
              </w:rPr>
              <w:t>;</w:t>
            </w:r>
          </w:p>
          <w:p w:rsidR="00EA1630" w:rsidRDefault="0049292E">
            <w:pPr>
              <w:pStyle w:val="ConsPlusNormal0"/>
              <w:spacing w:line="228" w:lineRule="auto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Courier New"/>
                <w:sz w:val="24"/>
              </w:rPr>
              <w:t>Ч – численность совершеннолетнего населения Ульяновской области, чел.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единой государственной автоматизированной информационной системы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учёта объёма производства и оборота этилового спирта, алкогольной и спиртосодержащей продукции (далее </w:t>
            </w:r>
            <w:r>
              <w:rPr>
                <w:rFonts w:ascii="PT Astra Serif" w:hAnsi="PT Astra Serif" w:cs="Courier New"/>
                <w:spacing w:val="3"/>
              </w:rPr>
              <w:t>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ЕГАИС);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Федеральной службы по контролю за алкогольным и табачным рынками;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Федеральной службы государственной статистики (далее </w:t>
            </w:r>
            <w:r>
              <w:rPr>
                <w:rFonts w:ascii="PT Astra Serif" w:hAnsi="PT Astra Serif" w:cs="Courier New"/>
                <w:spacing w:val="3"/>
              </w:rPr>
              <w:t>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Росстат)</w:t>
            </w:r>
          </w:p>
        </w:tc>
      </w:tr>
      <w:tr w:rsidR="00EA1630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pStyle w:val="ConsPlusNorma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Courier New"/>
                <w:sz w:val="24"/>
              </w:rPr>
              <w:t xml:space="preserve">Количество </w:t>
            </w:r>
            <w:r>
              <w:rPr>
                <w:rFonts w:ascii="PT Astra Serif" w:hAnsi="PT Astra Serif" w:cs="Courier New"/>
                <w:sz w:val="24"/>
              </w:rPr>
              <w:lastRenderedPageBreak/>
              <w:t>лицензированных точек продаж алкогольной продукции в расчёте на 1000 совершеннолетнего населения, ед.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pStyle w:val="ConsPlusNorma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</w:rPr>
              <w:lastRenderedPageBreak/>
              <w:t>Т / Ч * 1000, где:</w:t>
            </w:r>
          </w:p>
          <w:p w:rsidR="00EA1630" w:rsidRDefault="0049292E">
            <w:pPr>
              <w:pStyle w:val="ConsPlusNormal0"/>
              <w:spacing w:line="228" w:lineRule="auto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Т – количество лицензированных торговых точек продаж алкогольной продукции,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Courier New"/>
                <w:sz w:val="24"/>
                <w:szCs w:val="24"/>
              </w:rPr>
              <w:t xml:space="preserve">Ч – численность совершеннолетнего </w:t>
            </w:r>
            <w:r>
              <w:rPr>
                <w:rFonts w:ascii="PT Astra Serif" w:hAnsi="PT Astra Serif" w:cs="Courier New"/>
                <w:sz w:val="24"/>
                <w:szCs w:val="24"/>
              </w:rPr>
              <w:t>населения Ульяновской  области,</w:t>
            </w:r>
            <w:r>
              <w:rPr>
                <w:rFonts w:ascii="PT Astra Serif" w:hAnsi="PT Astra Serif" w:cs="Courier New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ourier New"/>
                <w:sz w:val="24"/>
                <w:szCs w:val="24"/>
              </w:rPr>
              <w:t>чел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pStyle w:val="ConsPlusNormal0"/>
              <w:spacing w:line="228" w:lineRule="auto"/>
              <w:jc w:val="both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sz w:val="24"/>
              </w:rPr>
              <w:t xml:space="preserve">Данные государственного </w:t>
            </w:r>
            <w:r>
              <w:rPr>
                <w:rFonts w:ascii="PT Astra Serif" w:hAnsi="PT Astra Serif"/>
                <w:sz w:val="24"/>
              </w:rPr>
              <w:lastRenderedPageBreak/>
              <w:t>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продукции;</w:t>
            </w:r>
          </w:p>
          <w:p w:rsidR="00EA1630" w:rsidRDefault="0049292E">
            <w:pPr>
              <w:pStyle w:val="ConsPlusNorma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 w:cs="PT Astra Serif"/>
                <w:sz w:val="24"/>
              </w:rPr>
              <w:t>данные Росстата</w:t>
            </w:r>
          </w:p>
        </w:tc>
      </w:tr>
      <w:tr w:rsidR="00EA1630">
        <w:tc>
          <w:tcPr>
            <w:tcW w:w="15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sz w:val="24"/>
                <w:szCs w:val="24"/>
              </w:rPr>
              <w:lastRenderedPageBreak/>
              <w:t xml:space="preserve">Индикативные </w:t>
            </w:r>
            <w:r>
              <w:rPr>
                <w:sz w:val="24"/>
                <w:szCs w:val="24"/>
              </w:rPr>
              <w:t>показатели</w:t>
            </w:r>
          </w:p>
        </w:tc>
      </w:tr>
      <w:tr w:rsidR="00EA1630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</w:pP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>Количество проведённых профилактических мер</w:t>
            </w: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приятий, ед.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ПМ=И+О+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+К+ПВ, где: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ПМ — количество проведённых профилактических меропри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тий, </w:t>
            </w:r>
            <w:proofErr w:type="spellStart"/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t xml:space="preserve">И —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 информированию, ед.;</w:t>
            </w:r>
            <w:r>
              <w:t xml:space="preserve">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/>
                <w:sz w:val="24"/>
                <w:szCs w:val="24"/>
              </w:rPr>
              <w:t>О — количество обобщени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правоприменительной практики,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— количество вынесенных предостережений,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К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— количество консульт</w:t>
            </w:r>
            <w:r>
              <w:rPr>
                <w:rFonts w:ascii="PT Astra Serif" w:hAnsi="PT Astra Serif"/>
                <w:sz w:val="24"/>
                <w:szCs w:val="24"/>
              </w:rPr>
              <w:t>ирований</w:t>
            </w:r>
            <w:r>
              <w:rPr>
                <w:rFonts w:ascii="PT Astra Serif" w:hAnsi="PT Astra Serif"/>
                <w:sz w:val="24"/>
                <w:szCs w:val="24"/>
              </w:rPr>
              <w:t>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ПВ — количество профилактических визитов, ед.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Данные единого реестра контрольных (надзорных) мероприятий (далее - ЕРКНМ);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</w:t>
            </w:r>
            <w:r>
              <w:rPr>
                <w:rFonts w:ascii="PT Astra Serif" w:hAnsi="PT Astra Serif"/>
                <w:sz w:val="24"/>
                <w:szCs w:val="24"/>
              </w:rPr>
              <w:t>гос</w:t>
            </w:r>
            <w:r>
              <w:rPr>
                <w:rFonts w:ascii="PT Astra Serif" w:hAnsi="PT Astra Serif"/>
                <w:sz w:val="24"/>
                <w:szCs w:val="24"/>
              </w:rPr>
              <w:t>ударственной информационной системы «Типовое облачное решение по автоматизации контрольной (надзорной) деятельности» (далее – ГИС ТОР КНД).</w:t>
            </w:r>
          </w:p>
        </w:tc>
      </w:tr>
      <w:tr w:rsidR="00EA1630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Количество провед</w:t>
            </w:r>
            <w:r>
              <w:rPr>
                <w:rFonts w:ascii="PT Astra Serif" w:eastAsia="NSimSun" w:hAnsi="PT Astra Serif" w:cs="Noto Sans Devanagari"/>
                <w:color w:val="000000"/>
                <w:sz w:val="24"/>
                <w:szCs w:val="20"/>
                <w:lang w:bidi="hi-IN"/>
              </w:rPr>
              <w:t>ё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нных контрольных (надзорных) мероприятий </w:t>
            </w:r>
            <w:r>
              <w:rPr>
                <w:rFonts w:ascii="PT Astra Serif" w:eastAsia="NSimSun" w:hAnsi="PT Astra Serif" w:cs="Noto Sans Devanagari"/>
                <w:color w:val="000000"/>
                <w:sz w:val="24"/>
                <w:szCs w:val="20"/>
                <w:lang w:bidi="hi-IN"/>
              </w:rPr>
              <w:t>без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взаимодействия с контролируемым лицом, ед.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=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+Н, где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— количество проведённых 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контрольных (надзорных) мероприятий </w:t>
            </w:r>
            <w:r>
              <w:rPr>
                <w:rFonts w:ascii="PT Astra Serif" w:eastAsia="NSimSun" w:hAnsi="PT Astra Serif" w:cs="Noto Sans Devanagari"/>
                <w:color w:val="000000"/>
                <w:sz w:val="24"/>
                <w:szCs w:val="20"/>
                <w:lang w:bidi="hi-IN"/>
              </w:rPr>
              <w:t>без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взаимодействия с контролируемым лицом, </w:t>
            </w:r>
            <w:proofErr w:type="spellStart"/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ВО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— количество выездных обследований,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 — количество наблюдений, ед.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ЕРКНМ;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данные ГИС ТОР КНД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</w:tc>
      </w:tr>
      <w:tr w:rsidR="00EA1630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провед</w:t>
            </w:r>
            <w:r>
              <w:rPr>
                <w:rFonts w:ascii="PT Astra Serif" w:eastAsia="NSimSun" w:hAnsi="PT Astra Serif" w:cs="Noto Sans Devanagari"/>
                <w:color w:val="000000"/>
                <w:sz w:val="24"/>
                <w:szCs w:val="20"/>
                <w:lang w:bidi="hi-IN"/>
              </w:rPr>
              <w:t>ё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нных контрольных (надзорных) мероприятий </w:t>
            </w:r>
            <w:r>
              <w:rPr>
                <w:rFonts w:ascii="PT Astra Serif" w:eastAsia="NSimSun" w:hAnsi="PT Astra Serif" w:cs="Noto Sans Devanagari"/>
                <w:color w:val="000000"/>
                <w:sz w:val="24"/>
                <w:szCs w:val="20"/>
                <w:lang w:bidi="hi-IN"/>
              </w:rPr>
              <w:t>с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взаимодействием с контролируемым лицом, ед.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КМв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>=ДП+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КЗ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+ИВ+ВП, где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— количество  провед</w:t>
            </w:r>
            <w:r>
              <w:rPr>
                <w:rFonts w:ascii="PT Astra Serif" w:eastAsia="NSimSun" w:hAnsi="PT Astra Serif" w:cs="Noto Sans Devanagari"/>
                <w:color w:val="000000"/>
                <w:sz w:val="24"/>
                <w:szCs w:val="20"/>
                <w:lang w:bidi="hi-IN"/>
              </w:rPr>
              <w:t>ё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нных контрольных (надзорных) мероприятий </w:t>
            </w:r>
            <w:r>
              <w:rPr>
                <w:rFonts w:ascii="PT Astra Serif" w:eastAsia="NSimSun" w:hAnsi="PT Astra Serif" w:cs="Noto Sans Devanagari"/>
                <w:color w:val="000000"/>
                <w:sz w:val="24"/>
                <w:szCs w:val="20"/>
                <w:lang w:bidi="hi-IN"/>
              </w:rPr>
              <w:t>с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взаимодействием с контролируемым лицом,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ДП — 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документарных проверок,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КЗ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—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контрольных закупок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ИВ — 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инспекционных визитов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ВП — 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выездных проверок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, ед.   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Данные ЕРКНМ;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данные ГИС ТОР КНД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</w:tc>
      </w:tr>
      <w:tr w:rsidR="00EA1630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Количество контрольных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(надзорных) мероприятий, при проведении которых выявлены нарушения обязательных требований, ед.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КМ= ВО+Н+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ДП+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КЗ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+ИВ+ВП, где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КМ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—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оличество контрольных (надзорных) мероприятий, при проведении которых выявлены нарушения обязательных треб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ваний,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ВО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—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количество выездных обследований, при проведении 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торых выявлены нарушения обязательных требований,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 — количество наблюдений, при проведении которых выявл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ны нарушения обязательных требований,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ДП — количество проведённых документарных проверок,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 при проведении которых выявлены нарушения обязательных треб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ваний,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КЗ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—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контрольных закупок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 при пр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ведении которых выявлены нарушения обязательных требов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ИВ — 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инспекционных визитов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 при провед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ении которых выявлены нарушения обязательных треб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ваний,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ВП — 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выездных проверок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 при пр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ведении которых выявлены нарушения обязательных требов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ний, ед.  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ЕРКНМ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;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данные ГИС ТОР КНД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</w:tc>
      </w:tr>
      <w:tr w:rsidR="00EA1630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>
              <w:rPr>
                <w:rFonts w:ascii="PT Astra Serif" w:hAnsi="PT Astra Serif"/>
                <w:sz w:val="24"/>
              </w:rPr>
              <w:t xml:space="preserve">оличество административных </w:t>
            </w:r>
            <w:r>
              <w:rPr>
                <w:rFonts w:ascii="PT Astra Serif" w:hAnsi="PT Astra Serif"/>
                <w:sz w:val="24"/>
              </w:rPr>
              <w:t>наказаний, назначенных по итогам контрольных (надзорных) мероприятий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 ед.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Прямой подсчёт.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ЕРКНМ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;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данные ГИС ТОР КНД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</w:tc>
      </w:tr>
      <w:tr w:rsidR="00EA1630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8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Количество контрольных (надзорных) мероприятий, проведённых с грубым нарушением требований к организации и осуществлению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государственного контроля (надзора),  и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результаты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которых были признаны недействительными и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(или) отменены, ед.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К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М(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)= ВО+Н+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ДП+КЗ+ИВ+ВП, где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М(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н) —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оличество контрольных (надзорных) мероприятий, проведённых с грубым нарушением требований к организации 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осуществлению государственного контроля (надзора),  и 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зультаты которых были признаны недействительными и (или) отменены,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ВО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— количество выездных обследований, проведённых с гр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бым нарушением требований к организации и осуществлению государственног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 контроля (надзора),  и результаты которых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были признаны недействительными и (или) отменены,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 — количество наблюдений, проведённых с грубым наруш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нием требований к организации и осуществлению госуда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ственного контроля (надзора),  и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результаты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которы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х были пр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знаны недействительными и (или) отменены,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ДП — количество проведённых документарных проверок, пр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ведённых с грубым нарушением требований к организации и осуществлению государственного контроля (надзора),  и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зультаты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которых были признаны н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едействительными и (или) отменены,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КЗ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—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контрольных закупок, пров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дённых с грубым нарушением требований к организации и осуществлению государственного контроля (надзора),  и 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зультаты которых были признаны недействительными и (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или) отменены, ед.;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ИВ — 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инспекционных визитов, пр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ведённых с грубым нарушением требований к организации и осуществлению государственного контроля (надзора),  и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зультаты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которых были признаны недействительными и (или) отменены, ед.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ВП — количество проведённых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выездных проверок, проведё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ных с грубым нарушением требований к организации и ос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ществлению государственного контроля (надзора),  и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результ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ты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которых были признаны недействительными и (или) отм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нены, ед.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Данные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ЕРКНМ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; </w:t>
            </w:r>
          </w:p>
          <w:p w:rsidR="00EA1630" w:rsidRDefault="00492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8" w:lineRule="auto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данн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ые ГИС ТОР КНД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</w:tc>
      </w:tr>
    </w:tbl>
    <w:p w:rsidR="00EA1630" w:rsidRDefault="00EA1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center"/>
        <w:rPr>
          <w:rFonts w:ascii="PT Astra Serif" w:hAnsi="PT Astra Serif"/>
          <w:b/>
          <w:bCs/>
        </w:rPr>
      </w:pPr>
    </w:p>
    <w:p w:rsidR="00EA1630" w:rsidRDefault="00EA1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center"/>
        <w:rPr>
          <w:rFonts w:ascii="PT Astra Serif" w:hAnsi="PT Astra Serif"/>
          <w:b/>
          <w:bCs/>
        </w:rPr>
      </w:pPr>
    </w:p>
    <w:p w:rsidR="00EA1630" w:rsidRDefault="0049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center"/>
        <w:rPr>
          <w:rFonts w:ascii="PT Astra Serif" w:hAnsi="PT Astra Serif"/>
          <w:b/>
          <w:bCs/>
        </w:rPr>
        <w:sectPr w:rsidR="00EA1630" w:rsidSect="001C55F9">
          <w:headerReference w:type="default" r:id="rId9"/>
          <w:footerReference w:type="default" r:id="rId10"/>
          <w:pgSz w:w="16838" w:h="11906" w:orient="landscape"/>
          <w:pgMar w:top="1701" w:right="1134" w:bottom="567" w:left="1134" w:header="0" w:footer="0" w:gutter="0"/>
          <w:pgNumType w:start="3"/>
          <w:cols w:space="720"/>
          <w:formProt w:val="0"/>
          <w:docGrid w:linePitch="381"/>
        </w:sectPr>
      </w:pPr>
      <w:r>
        <w:rPr>
          <w:rFonts w:ascii="PT Astra Serif" w:hAnsi="PT Astra Serif" w:cs="PT Astra Serif"/>
        </w:rPr>
        <w:t>________________ ».</w:t>
      </w:r>
    </w:p>
    <w:p w:rsidR="00EA1630" w:rsidRDefault="0049292E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 Настоящее постановление вступает в силу на следующий день после </w:t>
      </w:r>
      <w:bookmarkStart w:id="1" w:name="_GoBack"/>
      <w:bookmarkEnd w:id="1"/>
      <w:r>
        <w:rPr>
          <w:rFonts w:ascii="PT Astra Serif" w:hAnsi="PT Astra Serif"/>
        </w:rPr>
        <w:t>дня его официального опубликования.</w:t>
      </w:r>
    </w:p>
    <w:p w:rsidR="00EA1630" w:rsidRDefault="00EA1630">
      <w:pPr>
        <w:ind w:firstLine="737"/>
        <w:jc w:val="both"/>
        <w:rPr>
          <w:rFonts w:ascii="PT Astra Serif" w:hAnsi="PT Astra Serif"/>
        </w:rPr>
      </w:pPr>
    </w:p>
    <w:p w:rsidR="00EA1630" w:rsidRDefault="00EA1630">
      <w:pPr>
        <w:ind w:firstLine="737"/>
        <w:jc w:val="both"/>
        <w:rPr>
          <w:rFonts w:ascii="PT Astra Serif" w:hAnsi="PT Astra Serif"/>
        </w:rPr>
      </w:pPr>
    </w:p>
    <w:p w:rsidR="00EA1630" w:rsidRDefault="00EA1630">
      <w:pPr>
        <w:ind w:firstLine="737"/>
        <w:jc w:val="both"/>
        <w:rPr>
          <w:rFonts w:ascii="PT Astra Serif" w:hAnsi="PT Astra Serif"/>
        </w:rPr>
      </w:pPr>
    </w:p>
    <w:p w:rsidR="00EA1630" w:rsidRDefault="0049292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Председатель</w:t>
      </w:r>
    </w:p>
    <w:p w:rsidR="00EA1630" w:rsidRDefault="0049292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Правительства области                                        </w:t>
      </w:r>
      <w:r>
        <w:rPr>
          <w:rFonts w:ascii="PT Astra Serif" w:hAnsi="PT Astra Serif"/>
        </w:rPr>
        <w:t xml:space="preserve">                                  </w:t>
      </w:r>
      <w:proofErr w:type="spellStart"/>
      <w:r>
        <w:rPr>
          <w:rFonts w:ascii="PT Astra Serif" w:hAnsi="PT Astra Serif"/>
        </w:rPr>
        <w:t>В.Н.Разумков</w:t>
      </w:r>
      <w:proofErr w:type="spellEnd"/>
    </w:p>
    <w:sectPr w:rsidR="00EA1630">
      <w:headerReference w:type="default" r:id="rId11"/>
      <w:footerReference w:type="default" r:id="rId12"/>
      <w:pgSz w:w="11906" w:h="16838"/>
      <w:pgMar w:top="1134" w:right="567" w:bottom="57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2E" w:rsidRDefault="0049292E">
      <w:r>
        <w:separator/>
      </w:r>
    </w:p>
  </w:endnote>
  <w:endnote w:type="continuationSeparator" w:id="0">
    <w:p w:rsidR="0049292E" w:rsidRDefault="0049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Sans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30" w:rsidRDefault="00EA16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30" w:rsidRDefault="00EA16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2E" w:rsidRDefault="0049292E">
      <w:r>
        <w:separator/>
      </w:r>
    </w:p>
  </w:footnote>
  <w:footnote w:type="continuationSeparator" w:id="0">
    <w:p w:rsidR="0049292E" w:rsidRDefault="0049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9" w:rsidRDefault="001C55F9">
    <w:pPr>
      <w:pStyle w:val="af"/>
      <w:jc w:val="center"/>
    </w:pPr>
  </w:p>
  <w:p w:rsidR="001C55F9" w:rsidRPr="001C55F9" w:rsidRDefault="0049292E" w:rsidP="001C55F9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BE552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30" w:rsidRDefault="00EA1630"/>
  <w:p w:rsidR="00EA1630" w:rsidRDefault="0049292E">
    <w:pPr>
      <w:jc w:val="center"/>
    </w:pPr>
    <w:r>
      <w:fldChar w:fldCharType="begin"/>
    </w:r>
    <w:r>
      <w:instrText>PAGE</w:instrText>
    </w:r>
    <w:r>
      <w:fldChar w:fldCharType="separate"/>
    </w:r>
    <w:r w:rsidR="00BE5522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30" w:rsidRDefault="0049292E">
    <w:pPr>
      <w:pStyle w:val="af"/>
      <w:jc w:val="center"/>
      <w:rPr>
        <w:rFonts w:ascii="PT Astra Serif" w:hAnsi="PT Astra Serif" w:cs="PT Astra Serif"/>
      </w:rPr>
    </w:pPr>
    <w:r>
      <w:fldChar w:fldCharType="begin"/>
    </w:r>
    <w:r>
      <w:instrText>PAGE</w:instrText>
    </w:r>
    <w:r>
      <w:fldChar w:fldCharType="separate"/>
    </w:r>
    <w:r w:rsidR="00BE5522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533D"/>
    <w:multiLevelType w:val="multilevel"/>
    <w:tmpl w:val="1C402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1630"/>
    <w:rsid w:val="001C55F9"/>
    <w:rsid w:val="00265E8B"/>
    <w:rsid w:val="0049292E"/>
    <w:rsid w:val="00BE5522"/>
    <w:rsid w:val="00E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ic Sans" w:eastAsia="NSimSun" w:hAnsi="Basic Sans" w:cs="Noto Sans Devanagari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auto"/>
      <w:kern w:val="2"/>
      <w:sz w:val="28"/>
      <w:szCs w:val="28"/>
      <w:lang w:bidi="ar-S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 w:val="0"/>
      <w:i w:val="0"/>
      <w:color w:val="000000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PT Astra Serif" w:eastAsia="Calibri" w:hAnsi="PT Astra Serif" w:cs="PT Astra Serif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a3">
    <w:name w:val="page number"/>
    <w:basedOn w:val="a0"/>
  </w:style>
  <w:style w:type="character" w:customStyle="1" w:styleId="-">
    <w:name w:val="Интернет-ссылка"/>
    <w:basedOn w:val="a0"/>
    <w:rPr>
      <w:color w:val="0000FF"/>
      <w:u w:val="single" w:color="FFFFFF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qFormat/>
    <w:rPr>
      <w:sz w:val="28"/>
      <w:szCs w:val="28"/>
    </w:rPr>
  </w:style>
  <w:style w:type="character" w:customStyle="1" w:styleId="a6">
    <w:name w:val="Основной текст Знак"/>
    <w:basedOn w:val="a0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basedOn w:val="a0"/>
    <w:qFormat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0">
    <w:name w:val="Верхний колонтитул Знак1"/>
    <w:qFormat/>
    <w:rPr>
      <w:sz w:val="28"/>
      <w:szCs w:val="28"/>
    </w:rPr>
  </w:style>
  <w:style w:type="character" w:customStyle="1" w:styleId="11">
    <w:name w:val="Нижний колонтитул Знак1"/>
    <w:qFormat/>
    <w:rPr>
      <w:color w:val="00000A"/>
      <w:sz w:val="24"/>
      <w:szCs w:val="24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styleId="a9">
    <w:name w:val="Body Text"/>
    <w:basedOn w:val="a"/>
    <w:qFormat/>
    <w:pPr>
      <w:jc w:val="both"/>
    </w:pPr>
    <w:rPr>
      <w:sz w:val="24"/>
      <w:szCs w:val="24"/>
    </w:rPr>
  </w:style>
  <w:style w:type="paragraph" w:styleId="aa">
    <w:name w:val="List"/>
    <w:basedOn w:val="a9"/>
    <w:qFormat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customStyle="1" w:styleId="ConsPlusNormal0">
    <w:name w:val="ConsPlusNormal"/>
    <w:qFormat/>
    <w:rPr>
      <w:rFonts w:ascii="Arial" w:eastAsia="Times New Roman" w:hAnsi="Arial" w:cs="Arial"/>
      <w:kern w:val="2"/>
      <w:sz w:val="28"/>
      <w:lang w:bidi="ar-SA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Document Map"/>
    <w:basedOn w:val="a"/>
    <w:qFormat/>
    <w:pPr>
      <w:shd w:val="solid" w:color="000080" w:fill="auto"/>
    </w:pPr>
    <w:rPr>
      <w:rFonts w:ascii="Tahoma" w:hAnsi="Tahoma" w:cs="Tahoma"/>
      <w:sz w:val="20"/>
      <w:szCs w:val="20"/>
    </w:rPr>
  </w:style>
  <w:style w:type="paragraph" w:customStyle="1" w:styleId="14">
    <w:name w:val="Обычный (веб)1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2">
    <w:name w:val="footer"/>
    <w:basedOn w:val="a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3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kern w:val="2"/>
      <w:sz w:val="28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sz w:val="28"/>
      <w:lang w:bidi="ar-SA"/>
    </w:rPr>
  </w:style>
  <w:style w:type="paragraph" w:customStyle="1" w:styleId="Standard">
    <w:name w:val="Standard"/>
    <w:qFormat/>
    <w:pPr>
      <w:widowControl w:val="0"/>
    </w:pPr>
    <w:rPr>
      <w:rFonts w:ascii="Times New Roman CYR" w:eastAsia="Times New Roman" w:hAnsi="Times New Roman CYR" w:cs="Times New Roman CYR"/>
      <w:kern w:val="2"/>
      <w:sz w:val="22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Верхний колонтитул слева"/>
    <w:basedOn w:val="af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Обычный*"/>
    <w:qFormat/>
    <w:pPr>
      <w:widowControl w:val="0"/>
    </w:pPr>
    <w:rPr>
      <w:rFonts w:eastAsia="Times New Roman" w:cs="Basic Sans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Times New Roman"/>
        <a:cs typeface="Calibri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1284</Words>
  <Characters>9364</Characters>
  <Application>Microsoft Office Word</Application>
  <DocSecurity>0</DocSecurity>
  <Lines>624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24.10.2011 N 861(ред. от 01.09.2023)"О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функций)"(вместе с "Положе</vt:lpstr>
    </vt:vector>
  </TitlesOfParts>
  <Company>КонсультантПлюс Версия 4023.00.53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24.10.2011 N 861(ред. от 01.09.2023)"О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функций)"(вместе с "Положением о федеральной государственной информационной системе "Федеральный реестр государственных и муниципальных услуг (функций)", "Правилами ведения федеральной государственной информационной системы "Федеральный реестр государственных и муниципальных услу</dc:title>
  <dc:subject/>
  <dc:creator>user</dc:creator>
  <dc:description/>
  <cp:lastModifiedBy>Катрачева Светлана Игоревна</cp:lastModifiedBy>
  <cp:revision>44</cp:revision>
  <cp:lastPrinted>2024-05-29T08:11:00Z</cp:lastPrinted>
  <dcterms:created xsi:type="dcterms:W3CDTF">2024-03-29T08:59:00Z</dcterms:created>
  <dcterms:modified xsi:type="dcterms:W3CDTF">2024-05-29T08:11:00Z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4023.00.53</vt:lpwstr>
  </property>
</Properties>
</file>