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9A" w:rsidRDefault="0054559A" w:rsidP="0054559A">
      <w:pPr>
        <w:jc w:val="center"/>
        <w:rPr>
          <w:b/>
        </w:rPr>
      </w:pPr>
      <w:r w:rsidRPr="00672141">
        <w:rPr>
          <w:b/>
          <w:noProof/>
        </w:rPr>
        <w:drawing>
          <wp:inline distT="0" distB="0" distL="0" distR="0">
            <wp:extent cx="704850" cy="666750"/>
            <wp:effectExtent l="0" t="0" r="0" b="0"/>
            <wp:docPr id="1" name="Рисунок 1" descr="Описание: Герб_Ульяновской_области_(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Ульяновской_области_(201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9A" w:rsidRDefault="0054559A" w:rsidP="0054559A">
      <w:pPr>
        <w:jc w:val="center"/>
        <w:rPr>
          <w:b/>
          <w:color w:val="0000FF"/>
          <w:sz w:val="28"/>
          <w:szCs w:val="28"/>
        </w:rPr>
      </w:pPr>
    </w:p>
    <w:p w:rsidR="0054559A" w:rsidRDefault="0054559A" w:rsidP="0054559A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A14B2">
        <w:rPr>
          <w:rFonts w:ascii="PT Astra Serif" w:hAnsi="PT Astra Serif"/>
          <w:b/>
          <w:sz w:val="28"/>
          <w:szCs w:val="28"/>
        </w:rPr>
        <w:t xml:space="preserve">МИНИСТЕРСТВО </w:t>
      </w:r>
      <w:r>
        <w:rPr>
          <w:rFonts w:ascii="PT Astra Serif" w:hAnsi="PT Astra Serif"/>
          <w:b/>
          <w:sz w:val="28"/>
          <w:szCs w:val="28"/>
        </w:rPr>
        <w:t>ИМУЩЕСТВЕННЫХ ОТНОШЕНИЙ</w:t>
      </w:r>
    </w:p>
    <w:p w:rsidR="0054559A" w:rsidRPr="007A14B2" w:rsidRDefault="0054559A" w:rsidP="0054559A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A14B2">
        <w:rPr>
          <w:rFonts w:ascii="PT Astra Serif" w:hAnsi="PT Astra Serif"/>
          <w:b/>
          <w:sz w:val="28"/>
          <w:szCs w:val="28"/>
        </w:rPr>
        <w:t>И АРХИТЕКТУРЫ УЛЬЯНОВСКОЙ ОБЛАСТИ</w:t>
      </w:r>
    </w:p>
    <w:p w:rsidR="0054559A" w:rsidRPr="007A14B2" w:rsidRDefault="0054559A" w:rsidP="0054559A">
      <w:pPr>
        <w:jc w:val="center"/>
        <w:rPr>
          <w:rFonts w:ascii="PT Astra Serif" w:hAnsi="PT Astra Serif"/>
          <w:b/>
        </w:rPr>
      </w:pPr>
    </w:p>
    <w:p w:rsidR="0054559A" w:rsidRDefault="0054559A" w:rsidP="0054559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ПРИКАЗ</w:t>
      </w:r>
    </w:p>
    <w:p w:rsidR="0054559A" w:rsidRPr="007A14B2" w:rsidRDefault="0054559A" w:rsidP="0054559A">
      <w:pPr>
        <w:jc w:val="center"/>
        <w:rPr>
          <w:rFonts w:ascii="PT Astra Serif" w:hAnsi="PT Astra Serif"/>
          <w:b/>
          <w:sz w:val="28"/>
          <w:szCs w:val="28"/>
        </w:rPr>
      </w:pPr>
    </w:p>
    <w:p w:rsidR="0054559A" w:rsidRPr="007A14B2" w:rsidRDefault="0054559A" w:rsidP="0054559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7A14B2">
        <w:rPr>
          <w:rFonts w:ascii="PT Astra Serif" w:hAnsi="PT Astra Serif"/>
          <w:sz w:val="28"/>
          <w:szCs w:val="28"/>
        </w:rPr>
        <w:t xml:space="preserve"> </w:t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 w:rsidRPr="007A14B2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</w:t>
      </w:r>
      <w:r w:rsidRPr="007A14B2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  <w:u w:val="single"/>
        </w:rPr>
        <w:t>______</w:t>
      </w:r>
    </w:p>
    <w:p w:rsidR="0054559A" w:rsidRPr="00672141" w:rsidRDefault="0054559A" w:rsidP="0054559A">
      <w:pPr>
        <w:rPr>
          <w:rFonts w:ascii="PT Astra Serif" w:hAnsi="PT Astra Serif"/>
          <w:sz w:val="28"/>
          <w:szCs w:val="28"/>
        </w:rPr>
      </w:pPr>
      <w:r w:rsidRPr="007A14B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672141">
        <w:rPr>
          <w:rFonts w:ascii="PT Astra Serif" w:hAnsi="PT Astra Serif"/>
          <w:sz w:val="28"/>
          <w:szCs w:val="28"/>
        </w:rPr>
        <w:t>Экз. №</w:t>
      </w:r>
      <w:r>
        <w:rPr>
          <w:rFonts w:ascii="PT Astra Serif" w:hAnsi="PT Astra Serif"/>
          <w:sz w:val="28"/>
          <w:szCs w:val="28"/>
        </w:rPr>
        <w:t xml:space="preserve"> ___</w:t>
      </w:r>
    </w:p>
    <w:p w:rsidR="0054559A" w:rsidRDefault="0054559A" w:rsidP="0054559A">
      <w:pPr>
        <w:jc w:val="center"/>
      </w:pPr>
    </w:p>
    <w:p w:rsidR="0054559A" w:rsidRDefault="0054559A" w:rsidP="0054559A">
      <w:pPr>
        <w:jc w:val="center"/>
      </w:pPr>
      <w:r w:rsidRPr="008F00A4">
        <w:t>г. Ульяновск</w:t>
      </w:r>
    </w:p>
    <w:p w:rsidR="0054559A" w:rsidRDefault="0054559A" w:rsidP="0054559A">
      <w:pPr>
        <w:shd w:val="clear" w:color="auto" w:fill="FFFFFF"/>
        <w:spacing w:line="317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54559A" w:rsidRPr="00CB58A3" w:rsidRDefault="0054559A" w:rsidP="0054559A">
      <w:pPr>
        <w:shd w:val="clear" w:color="auto" w:fill="FFFFFF"/>
        <w:spacing w:line="317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54559A" w:rsidRPr="00964B8F" w:rsidRDefault="0054559A" w:rsidP="0054559A">
      <w:pPr>
        <w:spacing w:line="252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58A3">
        <w:rPr>
          <w:rFonts w:ascii="PT Astra Serif" w:hAnsi="PT Astra Serif" w:cs="PT Astra Serif"/>
          <w:b/>
          <w:sz w:val="28"/>
          <w:szCs w:val="28"/>
        </w:rPr>
        <w:t>О внесении изменени</w:t>
      </w:r>
      <w:r w:rsidR="00F04C30">
        <w:rPr>
          <w:rFonts w:ascii="PT Astra Serif" w:hAnsi="PT Astra Serif" w:cs="PT Astra Serif"/>
          <w:b/>
          <w:sz w:val="28"/>
          <w:szCs w:val="28"/>
        </w:rPr>
        <w:t>й</w:t>
      </w:r>
      <w:r w:rsidRPr="00CB58A3">
        <w:rPr>
          <w:rFonts w:ascii="PT Astra Serif" w:hAnsi="PT Astra Serif" w:cs="PT Astra Serif"/>
          <w:b/>
          <w:sz w:val="28"/>
          <w:szCs w:val="28"/>
        </w:rPr>
        <w:t xml:space="preserve"> в </w:t>
      </w:r>
      <w:r w:rsidRPr="0017257F">
        <w:rPr>
          <w:rFonts w:ascii="PT Astra Serif" w:hAnsi="PT Astra Serif" w:cs="PT Astra Serif"/>
          <w:b/>
          <w:sz w:val="28"/>
          <w:szCs w:val="28"/>
        </w:rPr>
        <w:t>Пр</w:t>
      </w:r>
      <w:r>
        <w:rPr>
          <w:rFonts w:ascii="PT Astra Serif" w:hAnsi="PT Astra Serif" w:cs="PT Astra Serif"/>
          <w:b/>
          <w:sz w:val="28"/>
          <w:szCs w:val="28"/>
        </w:rPr>
        <w:t>авила землепользования и застройки</w:t>
      </w:r>
      <w:r w:rsidR="0094405B">
        <w:rPr>
          <w:rFonts w:ascii="PT Astra Serif" w:hAnsi="PT Astra Serif" w:cs="PT Astra Serif"/>
          <w:b/>
          <w:sz w:val="28"/>
          <w:szCs w:val="28"/>
        </w:rPr>
        <w:t xml:space="preserve"> муниципального образования «Новомалыклинское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сельское </w:t>
      </w:r>
      <w:r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поселение» </w:t>
      </w:r>
      <w:r w:rsidR="0094405B">
        <w:rPr>
          <w:rFonts w:ascii="PT Astra Serif" w:eastAsia="Calibri" w:hAnsi="PT Astra Serif"/>
          <w:b/>
          <w:bCs/>
          <w:sz w:val="28"/>
          <w:szCs w:val="28"/>
        </w:rPr>
        <w:t>Новомалыклинского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CB58A3">
        <w:rPr>
          <w:rFonts w:ascii="PT Astra Serif" w:hAnsi="PT Astra Serif" w:cs="PT Astra Serif"/>
          <w:b/>
          <w:bCs/>
          <w:sz w:val="28"/>
          <w:szCs w:val="28"/>
        </w:rPr>
        <w:t>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CB58A3"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</w:p>
    <w:p w:rsidR="0054559A" w:rsidRPr="00837A59" w:rsidRDefault="0054559A" w:rsidP="0054559A">
      <w:pPr>
        <w:spacing w:line="252" w:lineRule="auto"/>
        <w:ind w:firstLine="737"/>
        <w:contextualSpacing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54559A" w:rsidRPr="00F04C30" w:rsidRDefault="0054559A" w:rsidP="00F04C30">
      <w:pPr>
        <w:pStyle w:val="ConsPlusNormal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F04C30">
        <w:rPr>
          <w:rFonts w:ascii="PT Astra Serif" w:hAnsi="PT Astra Serif" w:cs="PT Astra Serif"/>
          <w:sz w:val="28"/>
          <w:szCs w:val="28"/>
        </w:rPr>
        <w:t>В соответствии со статьями 31-33 Градостроительного кодекса Российской Федерации, статьёй 2 Закона Уль</w:t>
      </w:r>
      <w:r w:rsidR="0094405B" w:rsidRPr="00F04C30">
        <w:rPr>
          <w:rFonts w:ascii="PT Astra Serif" w:hAnsi="PT Astra Serif" w:cs="PT Astra Serif"/>
          <w:sz w:val="28"/>
          <w:szCs w:val="28"/>
        </w:rPr>
        <w:t>яновской области от 18.12.2014</w:t>
      </w:r>
      <w:r w:rsidRPr="00F04C30">
        <w:rPr>
          <w:rFonts w:ascii="PT Astra Serif" w:hAnsi="PT Astra Serif" w:cs="PT Astra Serif"/>
          <w:sz w:val="28"/>
          <w:szCs w:val="28"/>
        </w:rPr>
        <w:t xml:space="preserve"> № 210-ЗО </w:t>
      </w:r>
      <w:r w:rsidR="0094405B" w:rsidRPr="00F04C30">
        <w:rPr>
          <w:rFonts w:ascii="PT Astra Serif" w:hAnsi="PT Astra Serif" w:cs="PT Astra Serif"/>
          <w:sz w:val="28"/>
          <w:szCs w:val="28"/>
        </w:rPr>
        <w:t xml:space="preserve">         </w:t>
      </w:r>
      <w:r w:rsidRPr="00F04C30">
        <w:rPr>
          <w:rFonts w:ascii="PT Astra Serif" w:hAnsi="PT Astra Serif" w:cs="PT Astra Serif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области», </w:t>
      </w:r>
      <w:r w:rsidRPr="00F04C30">
        <w:rPr>
          <w:rFonts w:ascii="PT Astra Serif" w:hAnsi="PT Astra Serif" w:cs="PT Astra Serif"/>
          <w:bCs/>
          <w:sz w:val="28"/>
          <w:szCs w:val="28"/>
        </w:rPr>
        <w:t xml:space="preserve">постановлением Правительства Ульяновской области  от 27.01.2022 </w:t>
      </w:r>
      <w:r w:rsidR="0094405B" w:rsidRPr="00F04C30">
        <w:rPr>
          <w:rFonts w:ascii="PT Astra Serif" w:hAnsi="PT Astra Serif" w:cs="PT Astra Serif"/>
          <w:bCs/>
          <w:sz w:val="28"/>
          <w:szCs w:val="28"/>
        </w:rPr>
        <w:t xml:space="preserve">  </w:t>
      </w:r>
      <w:r w:rsidRPr="00F04C30">
        <w:rPr>
          <w:rFonts w:ascii="PT Astra Serif" w:hAnsi="PT Astra Serif" w:cs="PT Astra Serif"/>
          <w:bCs/>
          <w:sz w:val="28"/>
          <w:szCs w:val="28"/>
        </w:rPr>
        <w:t>№ 1/51-П «О Министерстве имущественных отношений</w:t>
      </w:r>
      <w:r w:rsidR="0094405B" w:rsidRPr="00F04C3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F04C30">
        <w:rPr>
          <w:rFonts w:ascii="PT Astra Serif" w:hAnsi="PT Astra Serif" w:cs="PT Astra Serif"/>
          <w:bCs/>
          <w:sz w:val="28"/>
          <w:szCs w:val="28"/>
        </w:rPr>
        <w:t>и архитектуры Ульяновской области», приказом Министерства строительства</w:t>
      </w:r>
      <w:r w:rsidR="0094405B" w:rsidRPr="00F04C3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F04C30">
        <w:rPr>
          <w:rFonts w:ascii="PT Astra Serif" w:hAnsi="PT Astra Serif" w:cs="PT Astra Serif"/>
          <w:bCs/>
          <w:sz w:val="28"/>
          <w:szCs w:val="28"/>
        </w:rPr>
        <w:t xml:space="preserve">и архитектуры Ульяновской области от 29.09.2020 № 216-пр «Об утверждении Положения </w:t>
      </w:r>
      <w:r w:rsidR="0094405B" w:rsidRPr="00F04C30">
        <w:rPr>
          <w:rFonts w:ascii="PT Astra Serif" w:hAnsi="PT Astra Serif" w:cs="PT Astra Serif"/>
          <w:bCs/>
          <w:sz w:val="28"/>
          <w:szCs w:val="28"/>
        </w:rPr>
        <w:t xml:space="preserve">           </w:t>
      </w:r>
      <w:r w:rsidRPr="00F04C30">
        <w:rPr>
          <w:rFonts w:ascii="PT Astra Serif" w:hAnsi="PT Astra Serif" w:cs="PT Astra Serif"/>
          <w:bCs/>
          <w:sz w:val="28"/>
          <w:szCs w:val="28"/>
        </w:rPr>
        <w:t xml:space="preserve">о порядке утверждения правил землепользования и застройки, внесения изменений в правила землепользования и застройки муниципальных образований Ульяновской области»  </w:t>
      </w:r>
      <w:r w:rsidRPr="00F04C30">
        <w:rPr>
          <w:rFonts w:ascii="PT Astra Serif" w:hAnsi="PT Astra Serif" w:cs="PT Astra Serif"/>
          <w:sz w:val="28"/>
          <w:szCs w:val="28"/>
        </w:rPr>
        <w:t>п р и к а з ы в а ю:</w:t>
      </w:r>
    </w:p>
    <w:p w:rsidR="0054559A" w:rsidRPr="00F04C30" w:rsidRDefault="0054559A" w:rsidP="00F04C30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 xml:space="preserve">Внести в Правила землепользования и застройки муниципального образования </w:t>
      </w:r>
      <w:r w:rsidR="0094405B"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>«</w:t>
      </w:r>
      <w:r w:rsidR="0094405B" w:rsidRPr="00F04C30">
        <w:rPr>
          <w:rFonts w:ascii="PT Astra Serif" w:eastAsia="Calibri" w:hAnsi="PT Astra Serif"/>
          <w:bCs/>
          <w:sz w:val="28"/>
          <w:szCs w:val="28"/>
        </w:rPr>
        <w:t>Новомалыклинское сельское поселение</w:t>
      </w:r>
      <w:r w:rsidR="0094405B" w:rsidRPr="00F04C30">
        <w:rPr>
          <w:rFonts w:ascii="PT Astra Serif" w:eastAsia="Calibri" w:hAnsi="PT Astra Serif" w:cs="PT Astra Serif"/>
          <w:sz w:val="28"/>
          <w:szCs w:val="28"/>
          <w:lang w:eastAsia="ar-SA"/>
        </w:rPr>
        <w:t>»</w:t>
      </w:r>
      <w:r w:rsidRPr="00F04C3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94405B" w:rsidRPr="00F04C30">
        <w:rPr>
          <w:rFonts w:ascii="PT Astra Serif" w:eastAsia="Calibri" w:hAnsi="PT Astra Serif"/>
          <w:bCs/>
          <w:sz w:val="28"/>
          <w:szCs w:val="28"/>
        </w:rPr>
        <w:t>Новомалыклинского</w:t>
      </w:r>
      <w:r w:rsidRPr="00F04C30">
        <w:rPr>
          <w:rFonts w:ascii="PT Astra Serif" w:eastAsia="Calibri" w:hAnsi="PT Astra Serif"/>
          <w:bCs/>
          <w:sz w:val="28"/>
          <w:szCs w:val="28"/>
        </w:rPr>
        <w:t xml:space="preserve"> района</w:t>
      </w:r>
      <w:r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 xml:space="preserve"> Ульяновской области</w:t>
      </w:r>
      <w:r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, утверждённые </w:t>
      </w:r>
      <w:r w:rsidR="004108D3"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приказом Агентства архитектуры </w:t>
      </w:r>
      <w:r w:rsidR="004108D3"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br/>
        <w:t>и градостроительства Ульяновской области от 02.04.2018 № 5-од «О внесении изменений в Правила землепользования и застройки муниципального образования «</w:t>
      </w:r>
      <w:proofErr w:type="spellStart"/>
      <w:r w:rsidR="004108D3" w:rsidRPr="00F04C30">
        <w:rPr>
          <w:rFonts w:ascii="PT Astra Serif" w:eastAsia="Calibri" w:hAnsi="PT Astra Serif"/>
          <w:bCs/>
          <w:sz w:val="28"/>
          <w:szCs w:val="28"/>
        </w:rPr>
        <w:t>Новомалыклинское</w:t>
      </w:r>
      <w:proofErr w:type="spellEnd"/>
      <w:r w:rsidR="004108D3" w:rsidRPr="00F04C30">
        <w:rPr>
          <w:rFonts w:ascii="PT Astra Serif" w:eastAsia="Calibri" w:hAnsi="PT Astra Serif"/>
          <w:bCs/>
          <w:sz w:val="28"/>
          <w:szCs w:val="28"/>
        </w:rPr>
        <w:t xml:space="preserve"> сельское поселение</w:t>
      </w:r>
      <w:r w:rsidR="004108D3" w:rsidRPr="00F04C30">
        <w:rPr>
          <w:rFonts w:ascii="PT Astra Serif" w:eastAsia="Calibri" w:hAnsi="PT Astra Serif" w:cs="PT Astra Serif"/>
          <w:sz w:val="28"/>
          <w:szCs w:val="28"/>
          <w:lang w:eastAsia="ar-SA"/>
        </w:rPr>
        <w:t xml:space="preserve">» </w:t>
      </w:r>
      <w:proofErr w:type="spellStart"/>
      <w:r w:rsidR="004108D3" w:rsidRPr="00F04C30">
        <w:rPr>
          <w:rFonts w:ascii="PT Astra Serif" w:eastAsia="Calibri" w:hAnsi="PT Astra Serif" w:cs="PT Astra Serif"/>
          <w:sz w:val="28"/>
          <w:szCs w:val="28"/>
          <w:lang w:eastAsia="ar-SA"/>
        </w:rPr>
        <w:t>Новомалыклинского</w:t>
      </w:r>
      <w:proofErr w:type="spellEnd"/>
      <w:r w:rsidR="004108D3" w:rsidRPr="00F04C30">
        <w:rPr>
          <w:rFonts w:ascii="PT Astra Serif" w:eastAsia="Calibri" w:hAnsi="PT Astra Serif" w:cs="PT Astra Serif"/>
          <w:sz w:val="28"/>
          <w:szCs w:val="28"/>
          <w:lang w:eastAsia="ar-SA"/>
        </w:rPr>
        <w:t xml:space="preserve"> </w:t>
      </w:r>
      <w:r w:rsidR="004108D3"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>района</w:t>
      </w:r>
      <w:r w:rsidR="004108D3"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 xml:space="preserve"> Ульяновской области»</w:t>
      </w:r>
      <w:r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, </w:t>
      </w:r>
      <w:r w:rsidR="00C0718C" w:rsidRPr="00F04C30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следующие </w:t>
      </w:r>
      <w:r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>изменени</w:t>
      </w:r>
      <w:r w:rsidR="00C0718C"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>я:</w:t>
      </w:r>
    </w:p>
    <w:p w:rsidR="00C0718C" w:rsidRPr="00F04C30" w:rsidRDefault="00C0718C" w:rsidP="00F04C30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>Карту градостроительного зонирования изложить в новой редакции согласно приложению № 1 к настоящему приказу.</w:t>
      </w:r>
    </w:p>
    <w:p w:rsidR="00C0718C" w:rsidRPr="00F04C30" w:rsidRDefault="00C0718C" w:rsidP="00F04C30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>Карту зон с особыми условиями использования территорий изложить в новой редакции согласно приложению № 2 к настоящему приказу.</w:t>
      </w:r>
    </w:p>
    <w:p w:rsidR="00C0718C" w:rsidRPr="00F04C30" w:rsidRDefault="007359F8" w:rsidP="00F04C30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 xml:space="preserve">В подпункте 1.1.1 пункта 1.1 главы 1 раздела </w:t>
      </w:r>
      <w:r w:rsidRPr="00F04C30">
        <w:rPr>
          <w:rFonts w:ascii="PT Astra Serif" w:eastAsia="Calibri" w:hAnsi="PT Astra Serif"/>
          <w:bCs/>
          <w:sz w:val="28"/>
          <w:szCs w:val="28"/>
          <w:lang w:val="en-US"/>
        </w:rPr>
        <w:t>III</w:t>
      </w:r>
      <w:r w:rsidRPr="00F04C30">
        <w:rPr>
          <w:rFonts w:ascii="PT Astra Serif" w:eastAsia="Calibri" w:hAnsi="PT Astra Serif"/>
          <w:bCs/>
          <w:sz w:val="28"/>
          <w:szCs w:val="28"/>
        </w:rPr>
        <w:t>:</w:t>
      </w:r>
    </w:p>
    <w:p w:rsidR="007359F8" w:rsidRPr="00F04C30" w:rsidRDefault="007359F8" w:rsidP="00F04C30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>таблицу 3 дополнить строкой 20 следующего содержания:</w:t>
      </w:r>
    </w:p>
    <w:tbl>
      <w:tblPr>
        <w:tblW w:w="5023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356"/>
        <w:gridCol w:w="496"/>
        <w:gridCol w:w="776"/>
        <w:gridCol w:w="1956"/>
        <w:gridCol w:w="5604"/>
        <w:gridCol w:w="494"/>
      </w:tblGrid>
      <w:tr w:rsidR="00F04C30" w:rsidRPr="00F04C30" w:rsidTr="007359F8">
        <w:tc>
          <w:tcPr>
            <w:tcW w:w="184" w:type="pct"/>
            <w:tcBorders>
              <w:top w:val="nil"/>
              <w:left w:val="nil"/>
              <w:bottom w:val="nil"/>
            </w:tcBorders>
          </w:tcPr>
          <w:p w:rsidR="007359F8" w:rsidRPr="00F04C30" w:rsidRDefault="007359F8" w:rsidP="00F04C30">
            <w:pPr>
              <w:contextualSpacing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F04C30">
              <w:rPr>
                <w:rFonts w:ascii="PT Astra Serif" w:hAnsi="PT Astra Serif" w:cs="Courier New"/>
                <w:sz w:val="28"/>
                <w:szCs w:val="28"/>
              </w:rPr>
              <w:lastRenderedPageBreak/>
              <w:t>«</w:t>
            </w:r>
          </w:p>
        </w:tc>
        <w:tc>
          <w:tcPr>
            <w:tcW w:w="256" w:type="pct"/>
          </w:tcPr>
          <w:p w:rsidR="007359F8" w:rsidRPr="00F04C30" w:rsidRDefault="007359F8" w:rsidP="00F04C30">
            <w:pPr>
              <w:contextualSpacing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F04C30">
              <w:rPr>
                <w:rFonts w:ascii="PT Astra Serif" w:hAnsi="PT Astra Serif" w:cs="Courier New"/>
                <w:sz w:val="28"/>
                <w:szCs w:val="28"/>
              </w:rPr>
              <w:t>20</w:t>
            </w:r>
          </w:p>
        </w:tc>
        <w:tc>
          <w:tcPr>
            <w:tcW w:w="401" w:type="pct"/>
          </w:tcPr>
          <w:p w:rsidR="007359F8" w:rsidRPr="00F04C30" w:rsidRDefault="007359F8" w:rsidP="00F04C30">
            <w:pPr>
              <w:contextualSpacing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F04C30">
              <w:rPr>
                <w:rFonts w:ascii="PT Astra Serif" w:hAnsi="PT Astra Serif" w:cs="Courier New"/>
                <w:sz w:val="28"/>
                <w:szCs w:val="28"/>
              </w:rPr>
              <w:t>3.2.3</w:t>
            </w:r>
          </w:p>
        </w:tc>
        <w:tc>
          <w:tcPr>
            <w:tcW w:w="1010" w:type="pct"/>
          </w:tcPr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Оказание услуг связи</w:t>
            </w:r>
          </w:p>
        </w:tc>
        <w:tc>
          <w:tcPr>
            <w:tcW w:w="2893" w:type="pct"/>
          </w:tcPr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 xml:space="preserve">Размещение зданий, предназначенных для размещения пунктов оказания услуг почтовой, телеграфной, междугородней </w:t>
            </w:r>
            <w:r w:rsidR="00F014D5"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br/>
            </w: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и международной телефонной связи</w:t>
            </w: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7359F8" w:rsidRPr="00F04C30" w:rsidRDefault="007359F8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»</w:t>
            </w:r>
            <w:r w:rsidR="00F014D5"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;</w:t>
            </w:r>
          </w:p>
        </w:tc>
      </w:tr>
    </w:tbl>
    <w:p w:rsidR="007359F8" w:rsidRPr="00F04C30" w:rsidRDefault="00F014D5" w:rsidP="00F04C30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>таблицу 6 дополнить строкой 29 следующего содержания: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356"/>
        <w:gridCol w:w="496"/>
        <w:gridCol w:w="1759"/>
        <w:gridCol w:w="3094"/>
        <w:gridCol w:w="3501"/>
        <w:gridCol w:w="432"/>
      </w:tblGrid>
      <w:tr w:rsidR="00F04C30" w:rsidRPr="00F04C30" w:rsidTr="006C7F86">
        <w:tc>
          <w:tcPr>
            <w:tcW w:w="185" w:type="pct"/>
            <w:tcBorders>
              <w:top w:val="nil"/>
              <w:left w:val="nil"/>
              <w:bottom w:val="nil"/>
            </w:tcBorders>
          </w:tcPr>
          <w:p w:rsidR="00F014D5" w:rsidRPr="00F04C30" w:rsidRDefault="00F014D5" w:rsidP="00F04C30">
            <w:pPr>
              <w:contextualSpacing/>
              <w:jc w:val="center"/>
              <w:rPr>
                <w:rFonts w:ascii="PT Astra Serif" w:hAnsi="PT Astra Serif"/>
                <w:sz w:val="28"/>
              </w:rPr>
            </w:pPr>
            <w:r w:rsidRPr="00F04C30">
              <w:rPr>
                <w:rFonts w:ascii="PT Astra Serif" w:hAnsi="PT Astra Serif" w:cs="Courier New"/>
                <w:sz w:val="28"/>
                <w:szCs w:val="28"/>
              </w:rPr>
              <w:t>«</w:t>
            </w:r>
          </w:p>
        </w:tc>
        <w:tc>
          <w:tcPr>
            <w:tcW w:w="257" w:type="pct"/>
          </w:tcPr>
          <w:p w:rsidR="00F014D5" w:rsidRPr="00F04C30" w:rsidRDefault="00F014D5" w:rsidP="00F04C30">
            <w:pPr>
              <w:contextualSpacing/>
              <w:jc w:val="center"/>
              <w:rPr>
                <w:rFonts w:ascii="PT Astra Serif" w:hAnsi="PT Astra Serif"/>
                <w:sz w:val="28"/>
              </w:rPr>
            </w:pPr>
            <w:r w:rsidRPr="00F04C30">
              <w:rPr>
                <w:rFonts w:ascii="PT Astra Serif" w:hAnsi="PT Astra Serif"/>
                <w:sz w:val="28"/>
              </w:rPr>
              <w:t>29</w:t>
            </w:r>
          </w:p>
        </w:tc>
        <w:tc>
          <w:tcPr>
            <w:tcW w:w="913" w:type="pct"/>
          </w:tcPr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Theme="minorHAnsi" w:hAnsi="PT Astra Serif"/>
                <w:sz w:val="28"/>
                <w:lang w:eastAsia="en-US"/>
              </w:rPr>
            </w:pP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Оказание услуг связи</w:t>
            </w:r>
          </w:p>
        </w:tc>
        <w:tc>
          <w:tcPr>
            <w:tcW w:w="1605" w:type="pct"/>
          </w:tcPr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8"/>
                <w:lang w:eastAsia="en-US"/>
              </w:rPr>
            </w:pPr>
            <w:r w:rsidRPr="00F04C30">
              <w:rPr>
                <w:rFonts w:ascii="PT Astra Serif" w:hAnsi="PT Astra Serif"/>
                <w:sz w:val="28"/>
                <w:lang w:eastAsia="en-US"/>
              </w:rPr>
              <w:t xml:space="preserve">предельные (минимальные и (или) максимальные) размеры земельных участков, </w:t>
            </w:r>
            <w:r w:rsidRPr="00F04C30">
              <w:rPr>
                <w:rFonts w:ascii="PT Astra Serif" w:hAnsi="PT Astra Serif"/>
                <w:sz w:val="28"/>
                <w:lang w:eastAsia="en-US"/>
              </w:rPr>
              <w:br/>
              <w:t>не подлежат установлению</w:t>
            </w:r>
          </w:p>
        </w:tc>
        <w:tc>
          <w:tcPr>
            <w:tcW w:w="1816" w:type="pct"/>
          </w:tcPr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4C30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предельные параметры разрешённого строительства, реконструкции объектов капитального строительства не подлежат установлению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</w:pPr>
          </w:p>
          <w:p w:rsidR="00F014D5" w:rsidRPr="00F04C30" w:rsidRDefault="00F014D5" w:rsidP="00F04C3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»</w:t>
            </w:r>
            <w:r w:rsidR="006C7F86" w:rsidRPr="00F04C30">
              <w:rPr>
                <w:rFonts w:ascii="PT Astra Serif" w:eastAsiaTheme="minorHAnsi" w:hAnsi="PT Astra Serif" w:cs="Courier New"/>
                <w:sz w:val="28"/>
                <w:szCs w:val="28"/>
                <w:lang w:eastAsia="en-US"/>
              </w:rPr>
              <w:t>.</w:t>
            </w:r>
          </w:p>
        </w:tc>
      </w:tr>
    </w:tbl>
    <w:p w:rsidR="006C7F86" w:rsidRPr="00F04C30" w:rsidRDefault="006C7F86" w:rsidP="00F04C30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 xml:space="preserve">Пункт 2.6 главы 2 раздела </w:t>
      </w:r>
      <w:r w:rsidRPr="00F04C30">
        <w:rPr>
          <w:rFonts w:ascii="PT Astra Serif" w:eastAsia="Calibri" w:hAnsi="PT Astra Serif"/>
          <w:bCs/>
          <w:sz w:val="28"/>
          <w:szCs w:val="28"/>
          <w:lang w:val="en-US"/>
        </w:rPr>
        <w:t>III</w:t>
      </w:r>
      <w:r w:rsidRPr="00F04C30">
        <w:rPr>
          <w:rFonts w:ascii="PT Astra Serif" w:eastAsia="Calibri" w:hAnsi="PT Astra Serif"/>
          <w:bCs/>
          <w:sz w:val="28"/>
          <w:szCs w:val="28"/>
        </w:rPr>
        <w:t xml:space="preserve"> изложить в новой редакции следующего содержания:</w:t>
      </w:r>
    </w:p>
    <w:p w:rsidR="00F014D5" w:rsidRPr="00F04C30" w:rsidRDefault="006C7F86" w:rsidP="00F04C30">
      <w:pPr>
        <w:pStyle w:val="a7"/>
        <w:tabs>
          <w:tab w:val="left" w:pos="1276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04C30">
        <w:rPr>
          <w:rFonts w:ascii="PT Astra Serif" w:eastAsia="Calibri" w:hAnsi="PT Astra Serif"/>
          <w:bCs/>
          <w:sz w:val="28"/>
          <w:szCs w:val="28"/>
        </w:rPr>
        <w:t>«</w:t>
      </w:r>
      <w:r w:rsidR="00FA3F6C" w:rsidRPr="00F04C30">
        <w:rPr>
          <w:rFonts w:ascii="PT Astra Serif" w:eastAsia="Calibri" w:hAnsi="PT Astra Serif"/>
          <w:b/>
          <w:bCs/>
          <w:sz w:val="28"/>
          <w:szCs w:val="28"/>
        </w:rPr>
        <w:t xml:space="preserve">2.6. </w:t>
      </w:r>
      <w:r w:rsidR="00FA3F6C" w:rsidRPr="00F04C30">
        <w:rPr>
          <w:rFonts w:ascii="PT Astra Serif" w:hAnsi="PT Astra Serif"/>
          <w:b/>
          <w:sz w:val="28"/>
          <w:szCs w:val="28"/>
        </w:rPr>
        <w:t>Ограничения использования земельных участков и объектов капитального строительства в границах водоохранных (рыбоохранных) зон, прибрежных защитных полос, береговых полос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Специальный режим в водоохранных зонах устанавливается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sz w:val="28"/>
          <w:szCs w:val="28"/>
        </w:rPr>
        <w:t xml:space="preserve">Ширина водоохранной зоны устанавливается от соответствующей береговой линии. В соответствии с пунктом 4 статьи 65 Водного кодекса РФ ширина водоохраной зоны рек или ручьёв устанавливается от их истока для рек или ручьёв протяжённостью: до 10 км – в размере 50 м; от 10 до 50 км – </w:t>
      </w:r>
      <w:r w:rsidRPr="00F04C30">
        <w:rPr>
          <w:rFonts w:ascii="PT Astra Serif" w:hAnsi="PT Astra Serif"/>
          <w:sz w:val="28"/>
          <w:szCs w:val="28"/>
        </w:rPr>
        <w:br/>
        <w:t xml:space="preserve">в размере 100 м; от 50 км и более – в размере 200 м. 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sz w:val="28"/>
          <w:szCs w:val="28"/>
        </w:rPr>
        <w:t xml:space="preserve">Ширина водоохранной зоны озера, водохранилища, </w:t>
      </w:r>
      <w:r w:rsidRPr="00F04C30">
        <w:rPr>
          <w:rFonts w:ascii="PT Astra Serif" w:hAnsi="PT Astra Serif"/>
          <w:sz w:val="28"/>
          <w:szCs w:val="28"/>
        </w:rPr>
        <w:br/>
        <w:t>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Содержание специального режима в водоохранных зонах определено Водным кодексом Российской Федерации.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В границах водоохранных зон запрещается: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использование сточных вод в целях повышения почвенного плодородия;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</w:t>
      </w:r>
      <w:proofErr w:type="gramStart"/>
      <w:r w:rsidRPr="00F04C30">
        <w:rPr>
          <w:rFonts w:ascii="PT Astra Serif" w:hAnsi="PT Astra Serif"/>
          <w:bCs/>
          <w:sz w:val="28"/>
          <w:szCs w:val="28"/>
          <w:lang w:eastAsia="en-US"/>
        </w:rPr>
        <w:t>допустимые концентрации которых в водах водных объектов</w:t>
      </w:r>
      <w:proofErr w:type="gramEnd"/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lastRenderedPageBreak/>
        <w:t>рыбохозяйственного значения не установлены;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осуществление авиационных мер по борьбе с вредными организмами;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твёрдое покрытие;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сброс сточных, в том числе дренажных, вод;</w:t>
      </w:r>
    </w:p>
    <w:p w:rsidR="004F2B22" w:rsidRPr="00F04C30" w:rsidRDefault="004F2B22" w:rsidP="00F04C30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разведка и добыча общераспространённых полезных ископаемых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(за исключением случаев, если разведка и добыча общераспространённых полезных ископаемых осуществляются пользователями недр, осуществляющими разведку и добычу иных видов полезных ископаемых,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утверждённого технического проекта в соответствии со статьёй 19.1 Закона Российской Федерации от 21 февраля 1992 года № 2395-1 «О недрах»).</w:t>
      </w:r>
    </w:p>
    <w:p w:rsidR="004F2B22" w:rsidRPr="00F04C30" w:rsidRDefault="004F2B22" w:rsidP="00F04C30">
      <w:pPr>
        <w:pStyle w:val="ConsPlusNormal"/>
        <w:numPr>
          <w:ilvl w:val="0"/>
          <w:numId w:val="8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от загрязнения, засорения, заиления и истощения вод, осуществляется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с учётом необходимости соблюдения установленных в соответствии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с законодательством в области охраны окружающей среды нормативов допустимых сбросов загрязняющих веществ, иных веществ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и микроорганизмов.</w:t>
      </w:r>
    </w:p>
    <w:p w:rsidR="004F2B22" w:rsidRPr="00F04C30" w:rsidRDefault="004F2B22" w:rsidP="00F04C30">
      <w:pPr>
        <w:pStyle w:val="ConsPlusNormal"/>
        <w:numPr>
          <w:ilvl w:val="0"/>
          <w:numId w:val="8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Под сооружениями, обеспечивающими охрану водных объектов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от загрязнения, засорения, заиления и истощения вод, понимаются:</w:t>
      </w:r>
    </w:p>
    <w:p w:rsidR="004F2B22" w:rsidRPr="00F04C30" w:rsidRDefault="004F2B22" w:rsidP="00F04C30">
      <w:pPr>
        <w:pStyle w:val="ConsPlusNormal"/>
        <w:numPr>
          <w:ilvl w:val="0"/>
          <w:numId w:val="5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централизованные системы водоотведения (канализации), централизованные ливневые системы водоотведения;</w:t>
      </w:r>
    </w:p>
    <w:p w:rsidR="004F2B22" w:rsidRPr="00F04C30" w:rsidRDefault="004F2B22" w:rsidP="00F04C30">
      <w:pPr>
        <w:pStyle w:val="ConsPlusNormal"/>
        <w:numPr>
          <w:ilvl w:val="0"/>
          <w:numId w:val="5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сооружения и системы для отведения (сброса) сточных вод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в централизованные системы водоотведения (в том числе дождевых, талых, инфильтрационных, поливомоечных и дренажных вод), если они предназначены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lastRenderedPageBreak/>
        <w:t>для приёма таких вод;</w:t>
      </w:r>
    </w:p>
    <w:p w:rsidR="004F2B22" w:rsidRPr="00F04C30" w:rsidRDefault="004F2B22" w:rsidP="00F04C30">
      <w:pPr>
        <w:pStyle w:val="ConsPlusNormal"/>
        <w:numPr>
          <w:ilvl w:val="0"/>
          <w:numId w:val="5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очистку, исходя из нормативов, установленных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в соответствии с требованиями законодательства в области охраны окружающей среды и Водного кодекса Российской Федерации;</w:t>
      </w:r>
    </w:p>
    <w:p w:rsidR="004F2B22" w:rsidRPr="00F04C30" w:rsidRDefault="004F2B22" w:rsidP="00F04C30">
      <w:pPr>
        <w:pStyle w:val="ConsPlusNormal"/>
        <w:numPr>
          <w:ilvl w:val="0"/>
          <w:numId w:val="5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в приёмники, изготовленные из водонепроницаемых материалов;</w:t>
      </w:r>
    </w:p>
    <w:p w:rsidR="004F2B22" w:rsidRPr="00F04C30" w:rsidRDefault="004F2B22" w:rsidP="00F04C30">
      <w:pPr>
        <w:pStyle w:val="ConsPlusNormal"/>
        <w:numPr>
          <w:ilvl w:val="0"/>
          <w:numId w:val="5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сооружения, обеспечивающие защиту водных объектов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 xml:space="preserve">и прилегающих к ним территорий от разливов нефти и нефтепродуктов 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br/>
        <w:t>и иного негативного воздействия на окружающую среду.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В отношении территорий ведения гражданами садоводства или огородничества для собственных нужд, размещённых в границах водоохранных зон и не оборудованных сооружениями для очистки сточных вод, до момента </w:t>
      </w:r>
      <w:r w:rsidR="003040BC" w:rsidRPr="00F04C30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их оборудования такими сооружениями и (или) подключения к системам, указанным в пункте 1 </w:t>
      </w:r>
      <w:r w:rsidRPr="00F04C30">
        <w:rPr>
          <w:rFonts w:ascii="PT Astra Serif" w:hAnsi="PT Astra Serif"/>
          <w:sz w:val="28"/>
          <w:szCs w:val="28"/>
        </w:rPr>
        <w:t>части</w:t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 2</w:t>
      </w:r>
      <w:r w:rsidR="003040BC" w:rsidRPr="00F04C30">
        <w:rPr>
          <w:rFonts w:ascii="PT Astra Serif" w:eastAsia="Calibri" w:hAnsi="PT Astra Serif"/>
          <w:sz w:val="28"/>
          <w:szCs w:val="28"/>
          <w:lang w:eastAsia="en-US"/>
        </w:rPr>
        <w:t>88</w:t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 настоящих правил, допускается применение приёмников, изготовленных из водонепроницаемых материалов, предотвращающих поступление загрязняющих веществ, иных веществ </w:t>
      </w:r>
      <w:r w:rsidR="003040BC" w:rsidRPr="00F04C30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>и микроорганизмов в окружающую среду.</w:t>
      </w:r>
    </w:p>
    <w:p w:rsidR="004F2B22" w:rsidRPr="00F04C30" w:rsidRDefault="004F2B22" w:rsidP="00F04C30">
      <w:pPr>
        <w:pStyle w:val="a7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На территориях, расположенных в границах водоохранных зон </w:t>
      </w:r>
      <w:r w:rsidR="003040BC" w:rsidRPr="00F04C30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 xml:space="preserve">и занятых защитными лесами, особо защитными участками лесов, наряду </w:t>
      </w:r>
      <w:r w:rsidR="003040BC" w:rsidRPr="00F04C30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04C30">
        <w:rPr>
          <w:rFonts w:ascii="PT Astra Serif" w:eastAsia="Calibri" w:hAnsi="PT Astra Serif"/>
          <w:sz w:val="28"/>
          <w:szCs w:val="28"/>
          <w:lang w:eastAsia="en-US"/>
        </w:rPr>
        <w:t>с ограничениями, установленными частью 229 настоящих правил,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:rsidR="004F2B22" w:rsidRPr="00F04C30" w:rsidRDefault="004F2B22" w:rsidP="00F04C30">
      <w:pPr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04C30">
        <w:rPr>
          <w:rFonts w:ascii="PT Astra Serif" w:hAnsi="PT Astra Serif" w:cs="PT Astra Serif"/>
          <w:sz w:val="28"/>
          <w:szCs w:val="28"/>
        </w:rPr>
        <w:t>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3040BC" w:rsidRPr="00F04C30" w:rsidRDefault="004F2B22" w:rsidP="00F04C30">
      <w:pPr>
        <w:pStyle w:val="a7"/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04C30">
        <w:rPr>
          <w:rFonts w:ascii="PT Astra Serif" w:hAnsi="PT Astra Serif" w:cs="PT Astra Serif"/>
          <w:sz w:val="28"/>
          <w:szCs w:val="28"/>
        </w:rPr>
        <w:t xml:space="preserve">Ширина прибрежной защитной полосы устанавливается </w:t>
      </w:r>
      <w:r w:rsidR="003040BC" w:rsidRPr="00F04C30">
        <w:rPr>
          <w:rFonts w:ascii="PT Astra Serif" w:hAnsi="PT Astra Serif" w:cs="PT Astra Serif"/>
          <w:sz w:val="28"/>
          <w:szCs w:val="28"/>
        </w:rPr>
        <w:br/>
      </w:r>
      <w:r w:rsidRPr="00F04C30">
        <w:rPr>
          <w:rFonts w:ascii="PT Astra Serif" w:hAnsi="PT Astra Serif" w:cs="PT Astra Serif"/>
          <w:sz w:val="28"/>
          <w:szCs w:val="28"/>
        </w:rPr>
        <w:t xml:space="preserve">в зависимости от уклона берега водного объекта и составляет тридцать метров для обратного или нулевого уклона, сорок метров для уклона до трёх градусов </w:t>
      </w:r>
      <w:r w:rsidR="003040BC" w:rsidRPr="00F04C30">
        <w:rPr>
          <w:rFonts w:ascii="PT Astra Serif" w:hAnsi="PT Astra Serif" w:cs="PT Astra Serif"/>
          <w:sz w:val="28"/>
          <w:szCs w:val="28"/>
        </w:rPr>
        <w:br/>
      </w:r>
      <w:r w:rsidRPr="00F04C30">
        <w:rPr>
          <w:rFonts w:ascii="PT Astra Serif" w:hAnsi="PT Astra Serif" w:cs="PT Astra Serif"/>
          <w:sz w:val="28"/>
          <w:szCs w:val="28"/>
        </w:rPr>
        <w:t>и пятьдесят метров для уклона три и более градуса.</w:t>
      </w:r>
    </w:p>
    <w:p w:rsidR="003040BC" w:rsidRPr="00F04C30" w:rsidRDefault="004F2B22" w:rsidP="00F04C30">
      <w:pPr>
        <w:pStyle w:val="a7"/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04C30">
        <w:rPr>
          <w:rFonts w:ascii="PT Astra Serif" w:hAnsi="PT Astra Serif" w:cs="PT Astra Serif"/>
          <w:sz w:val="28"/>
          <w:szCs w:val="28"/>
        </w:rPr>
        <w:t xml:space="preserve">Для расположенных в границах болот проточных и сточных озёр </w:t>
      </w:r>
      <w:r w:rsidR="003040BC" w:rsidRPr="00F04C30">
        <w:rPr>
          <w:rFonts w:ascii="PT Astra Serif" w:hAnsi="PT Astra Serif" w:cs="PT Astra Serif"/>
          <w:sz w:val="28"/>
          <w:szCs w:val="28"/>
        </w:rPr>
        <w:br/>
      </w:r>
      <w:r w:rsidRPr="00F04C30">
        <w:rPr>
          <w:rFonts w:ascii="PT Astra Serif" w:hAnsi="PT Astra Serif" w:cs="PT Astra Serif"/>
          <w:sz w:val="28"/>
          <w:szCs w:val="28"/>
        </w:rPr>
        <w:t>и соответствующих водотоков ширина прибрежной защитной полосы устанавливается в размере пятидесяти метров.</w:t>
      </w:r>
    </w:p>
    <w:p w:rsidR="003040BC" w:rsidRPr="00F04C30" w:rsidRDefault="004F2B22" w:rsidP="00F04C30">
      <w:pPr>
        <w:pStyle w:val="a7"/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04C30">
        <w:rPr>
          <w:rFonts w:ascii="PT Astra Serif" w:hAnsi="PT Astra Serif" w:cs="PT Astra Serif"/>
          <w:sz w:val="28"/>
          <w:szCs w:val="28"/>
        </w:rPr>
        <w:t>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</w:p>
    <w:p w:rsidR="004F2B22" w:rsidRPr="00F04C30" w:rsidRDefault="004F2B22" w:rsidP="00F04C30">
      <w:pPr>
        <w:pStyle w:val="a7"/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lastRenderedPageBreak/>
        <w:t>В границах прибрежных защитных полос наряду с установленными в части 2</w:t>
      </w:r>
      <w:r w:rsidR="003040BC" w:rsidRPr="00F04C30">
        <w:rPr>
          <w:rFonts w:ascii="PT Astra Serif" w:hAnsi="PT Astra Serif"/>
          <w:bCs/>
          <w:sz w:val="28"/>
          <w:szCs w:val="28"/>
          <w:lang w:eastAsia="en-US"/>
        </w:rPr>
        <w:t>86</w:t>
      </w:r>
      <w:r w:rsidRPr="00F04C30">
        <w:rPr>
          <w:rFonts w:ascii="PT Astra Serif" w:hAnsi="PT Astra Serif"/>
          <w:bCs/>
          <w:sz w:val="28"/>
          <w:szCs w:val="28"/>
          <w:lang w:eastAsia="en-US"/>
        </w:rPr>
        <w:t xml:space="preserve"> настоящих правил ограничениями запрещается:</w:t>
      </w:r>
    </w:p>
    <w:p w:rsidR="004F2B22" w:rsidRPr="00F04C30" w:rsidRDefault="004F2B22" w:rsidP="00F04C30">
      <w:pPr>
        <w:pStyle w:val="ConsPlusNormal"/>
        <w:numPr>
          <w:ilvl w:val="0"/>
          <w:numId w:val="6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распашка земель;</w:t>
      </w:r>
    </w:p>
    <w:p w:rsidR="004F2B22" w:rsidRPr="00F04C30" w:rsidRDefault="004F2B22" w:rsidP="00F04C30">
      <w:pPr>
        <w:pStyle w:val="ConsPlusNormal"/>
        <w:numPr>
          <w:ilvl w:val="0"/>
          <w:numId w:val="6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размещение отвалов размываемых грунтов;</w:t>
      </w:r>
    </w:p>
    <w:p w:rsidR="003040BC" w:rsidRPr="00F04C30" w:rsidRDefault="004F2B22" w:rsidP="00F04C30">
      <w:pPr>
        <w:pStyle w:val="ConsPlusNormal"/>
        <w:numPr>
          <w:ilvl w:val="0"/>
          <w:numId w:val="6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bCs/>
          <w:sz w:val="28"/>
          <w:szCs w:val="28"/>
          <w:lang w:eastAsia="en-US"/>
        </w:rPr>
        <w:t>выпас сельскохозяйственных животных и организация для них летних лагерей, ванн.</w:t>
      </w:r>
    </w:p>
    <w:p w:rsidR="003040BC" w:rsidRPr="00F04C30" w:rsidRDefault="004F2B22" w:rsidP="00F04C30">
      <w:pPr>
        <w:pStyle w:val="ConsPlusNormal"/>
        <w:numPr>
          <w:ilvl w:val="1"/>
          <w:numId w:val="8"/>
        </w:numPr>
        <w:tabs>
          <w:tab w:val="left" w:pos="1560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sz w:val="28"/>
          <w:szCs w:val="28"/>
          <w:lang w:eastAsia="en-US"/>
        </w:rPr>
        <w:t>Водным кодексом Российской Федерации установлено также понятие береговой полосы - полоса земли вдоль береговой линии (границы водного объекта) водного объекта общего пользования, предназначенная для общего пользования. Ширина береговой полосы водных объектов общего пользования - 20 метров. Исключение составляют каналы, реки и ручьи протяжённостью от истока до устья не более 10 километров, ширина береговой полосы которых составляет 5 метров.</w:t>
      </w:r>
    </w:p>
    <w:p w:rsidR="003040BC" w:rsidRPr="00F04C30" w:rsidRDefault="004F2B22" w:rsidP="00F04C30">
      <w:pPr>
        <w:pStyle w:val="ConsPlusNormal"/>
        <w:numPr>
          <w:ilvl w:val="1"/>
          <w:numId w:val="8"/>
        </w:numPr>
        <w:tabs>
          <w:tab w:val="left" w:pos="1560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sz w:val="28"/>
          <w:szCs w:val="28"/>
          <w:lang w:eastAsia="en-US"/>
        </w:rPr>
        <w:t>В соответствии с частью 8 статьи 27 Земельного кодекса Российской Федерации приватизация земельных участков в пределах береговой полосы запрещена. Кроме того, установлен запрет на ограничение публичного доступа на береговую полосу.</w:t>
      </w:r>
      <w:r w:rsidR="003040BC" w:rsidRPr="00F04C30">
        <w:rPr>
          <w:rFonts w:ascii="PT Astra Serif" w:hAnsi="PT Astra Serif"/>
          <w:sz w:val="28"/>
          <w:szCs w:val="28"/>
          <w:lang w:eastAsia="en-US"/>
        </w:rPr>
        <w:t>».</w:t>
      </w:r>
    </w:p>
    <w:p w:rsidR="003040BC" w:rsidRPr="00F04C30" w:rsidRDefault="0054559A" w:rsidP="00F04C30">
      <w:pPr>
        <w:pStyle w:val="ConsPlusNormal"/>
        <w:numPr>
          <w:ilvl w:val="0"/>
          <w:numId w:val="1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/>
          <w:sz w:val="28"/>
          <w:szCs w:val="28"/>
        </w:rPr>
        <w:t xml:space="preserve">Рекомендовать муниципальному образованию </w:t>
      </w:r>
      <w:r w:rsidRPr="00F04C30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>«</w:t>
      </w:r>
      <w:proofErr w:type="spellStart"/>
      <w:r w:rsidR="0094405B" w:rsidRPr="00F04C30">
        <w:rPr>
          <w:rFonts w:ascii="PT Astra Serif" w:eastAsia="Calibri" w:hAnsi="PT Astra Serif"/>
          <w:bCs/>
          <w:sz w:val="28"/>
          <w:szCs w:val="28"/>
        </w:rPr>
        <w:t>Новомалыклинский</w:t>
      </w:r>
      <w:proofErr w:type="spellEnd"/>
      <w:r w:rsidRPr="00F04C30">
        <w:rPr>
          <w:rFonts w:ascii="PT Astra Serif" w:eastAsia="Calibri" w:hAnsi="PT Astra Serif"/>
          <w:bCs/>
          <w:sz w:val="28"/>
          <w:szCs w:val="28"/>
        </w:rPr>
        <w:t xml:space="preserve"> район»</w:t>
      </w:r>
      <w:r w:rsidRPr="00F04C30">
        <w:rPr>
          <w:rFonts w:ascii="PT Astra Serif" w:hAnsi="PT Astra Serif"/>
          <w:b/>
          <w:sz w:val="26"/>
          <w:szCs w:val="26"/>
        </w:rPr>
        <w:t xml:space="preserve"> </w:t>
      </w:r>
      <w:r w:rsidR="00631A76" w:rsidRPr="00F04C30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F04C30">
        <w:rPr>
          <w:rFonts w:ascii="PT Astra Serif" w:hAnsi="PT Astra Serif"/>
          <w:sz w:val="28"/>
          <w:szCs w:val="28"/>
        </w:rPr>
        <w:t>разместить настоящий приказ на официальном сайте в информационно-телекоммуникационной сети «Интернет» и средствах массовой информации.</w:t>
      </w:r>
    </w:p>
    <w:p w:rsidR="0054559A" w:rsidRPr="00F04C30" w:rsidRDefault="0054559A" w:rsidP="00F04C30">
      <w:pPr>
        <w:pStyle w:val="ConsPlusNormal"/>
        <w:numPr>
          <w:ilvl w:val="0"/>
          <w:numId w:val="1"/>
        </w:numPr>
        <w:tabs>
          <w:tab w:val="left" w:pos="1134"/>
        </w:tabs>
        <w:suppressAutoHyphens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F04C30">
        <w:rPr>
          <w:rFonts w:ascii="PT Astra Serif" w:hAnsi="PT Astra Serif" w:cs="PT Astra Serif"/>
          <w:bCs/>
          <w:color w:val="000000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54559A" w:rsidRPr="00F04C30" w:rsidRDefault="0054559A" w:rsidP="00F04C30">
      <w:pPr>
        <w:shd w:val="clear" w:color="auto" w:fill="FFFFFF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54559A" w:rsidRDefault="0054559A" w:rsidP="0054559A">
      <w:pPr>
        <w:shd w:val="clear" w:color="auto" w:fill="FFFFFF"/>
        <w:spacing w:line="252" w:lineRule="auto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54559A" w:rsidRDefault="0054559A" w:rsidP="0054559A">
      <w:pPr>
        <w:shd w:val="clear" w:color="auto" w:fill="FFFFFF"/>
        <w:spacing w:line="252" w:lineRule="auto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54559A" w:rsidRPr="00141A1C" w:rsidRDefault="0054559A" w:rsidP="0054559A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  <w:lang w:eastAsia="zh-CN"/>
        </w:rPr>
        <w:t xml:space="preserve">Министр          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</w:t>
      </w:r>
      <w:r w:rsidRPr="00837A59"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837A59"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sz w:val="28"/>
          <w:szCs w:val="28"/>
        </w:rPr>
        <w:t xml:space="preserve">              О.М.Ягфаров</w:t>
      </w:r>
    </w:p>
    <w:p w:rsidR="0054559A" w:rsidRPr="00C004C6" w:rsidRDefault="0054559A" w:rsidP="0054559A">
      <w:pPr>
        <w:tabs>
          <w:tab w:val="left" w:pos="993"/>
        </w:tabs>
        <w:spacing w:line="252" w:lineRule="auto"/>
        <w:contextualSpacing/>
        <w:jc w:val="both"/>
        <w:rPr>
          <w:sz w:val="28"/>
          <w:szCs w:val="28"/>
          <w:lang w:val="en-US"/>
        </w:rPr>
      </w:pPr>
    </w:p>
    <w:p w:rsidR="0099414C" w:rsidRDefault="0099414C"/>
    <w:p w:rsidR="0099414C" w:rsidRDefault="0099414C">
      <w:pPr>
        <w:spacing w:after="160" w:line="259" w:lineRule="auto"/>
      </w:pPr>
      <w:r>
        <w:br w:type="page"/>
      </w:r>
    </w:p>
    <w:p w:rsidR="0099414C" w:rsidRDefault="0099414C">
      <w:r>
        <w:rPr>
          <w:noProof/>
        </w:rPr>
        <w:lastRenderedPageBreak/>
        <w:drawing>
          <wp:inline distT="0" distB="0" distL="0" distR="0">
            <wp:extent cx="6120130" cy="453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градостроительного зонирова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14C" w:rsidRDefault="0099414C">
      <w:pPr>
        <w:spacing w:after="160" w:line="259" w:lineRule="auto"/>
      </w:pPr>
      <w:r>
        <w:br w:type="page"/>
      </w:r>
    </w:p>
    <w:p w:rsidR="00417031" w:rsidRDefault="0099414C">
      <w:bookmarkStart w:id="0" w:name="_GoBack"/>
      <w:r>
        <w:rPr>
          <w:noProof/>
        </w:rPr>
        <w:lastRenderedPageBreak/>
        <w:drawing>
          <wp:inline distT="0" distB="0" distL="0" distR="0">
            <wp:extent cx="6120130" cy="4534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а зон с особыми условиям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7031" w:rsidSect="00877125">
      <w:headerReference w:type="default" r:id="rId10"/>
      <w:headerReference w:type="first" r:id="rId11"/>
      <w:pgSz w:w="11906" w:h="16838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BD" w:rsidRDefault="000215F4">
      <w:r>
        <w:separator/>
      </w:r>
    </w:p>
  </w:endnote>
  <w:endnote w:type="continuationSeparator" w:id="0">
    <w:p w:rsidR="004168BD" w:rsidRDefault="0002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BD" w:rsidRDefault="000215F4">
      <w:r>
        <w:separator/>
      </w:r>
    </w:p>
  </w:footnote>
  <w:footnote w:type="continuationSeparator" w:id="0">
    <w:p w:rsidR="004168BD" w:rsidRDefault="0002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D38" w:rsidRPr="00071D38" w:rsidRDefault="0094405B">
    <w:pPr>
      <w:pStyle w:val="a3"/>
      <w:jc w:val="center"/>
      <w:rPr>
        <w:rFonts w:ascii="PT Astra Serif" w:hAnsi="PT Astra Serif"/>
        <w:sz w:val="28"/>
      </w:rPr>
    </w:pPr>
    <w:r w:rsidRPr="00071D38">
      <w:rPr>
        <w:rFonts w:ascii="PT Astra Serif" w:hAnsi="PT Astra Serif"/>
        <w:sz w:val="28"/>
      </w:rPr>
      <w:fldChar w:fldCharType="begin"/>
    </w:r>
    <w:r w:rsidRPr="00071D38">
      <w:rPr>
        <w:rFonts w:ascii="PT Astra Serif" w:hAnsi="PT Astra Serif"/>
        <w:sz w:val="28"/>
      </w:rPr>
      <w:instrText>PAGE   \* MERGEFORMAT</w:instrText>
    </w:r>
    <w:r w:rsidRPr="00071D38">
      <w:rPr>
        <w:rFonts w:ascii="PT Astra Serif" w:hAnsi="PT Astra Serif"/>
        <w:sz w:val="28"/>
      </w:rPr>
      <w:fldChar w:fldCharType="separate"/>
    </w:r>
    <w:r w:rsidR="0099414C">
      <w:rPr>
        <w:rFonts w:ascii="PT Astra Serif" w:hAnsi="PT Astra Serif"/>
        <w:noProof/>
        <w:sz w:val="28"/>
      </w:rPr>
      <w:t>7</w:t>
    </w:r>
    <w:r w:rsidRPr="00071D38">
      <w:rPr>
        <w:rFonts w:ascii="PT Astra Serif" w:hAnsi="PT Astra Serif"/>
        <w:sz w:val="28"/>
      </w:rPr>
      <w:fldChar w:fldCharType="end"/>
    </w:r>
  </w:p>
  <w:p w:rsidR="00CB58A3" w:rsidRPr="00CB58A3" w:rsidRDefault="0099414C" w:rsidP="00CB58A3">
    <w:pPr>
      <w:pStyle w:val="a3"/>
      <w:jc w:val="right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8F" w:rsidRPr="00964B8F" w:rsidRDefault="004108D3" w:rsidP="00964B8F">
    <w:pPr>
      <w:pStyle w:val="a3"/>
      <w:jc w:val="right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ED3"/>
    <w:multiLevelType w:val="hybridMultilevel"/>
    <w:tmpl w:val="7058620A"/>
    <w:lvl w:ilvl="0" w:tplc="0000000E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3444CC0"/>
    <w:multiLevelType w:val="hybridMultilevel"/>
    <w:tmpl w:val="B382F0D4"/>
    <w:lvl w:ilvl="0" w:tplc="8272D036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8"/>
        <w:szCs w:val="28"/>
      </w:rPr>
    </w:lvl>
    <w:lvl w:ilvl="1" w:tplc="BAF4B084">
      <w:start w:val="1"/>
      <w:numFmt w:val="decimal"/>
      <w:lvlText w:val="%2)"/>
      <w:lvlJc w:val="left"/>
      <w:pPr>
        <w:ind w:left="2434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07660F"/>
    <w:multiLevelType w:val="hybridMultilevel"/>
    <w:tmpl w:val="2274421A"/>
    <w:lvl w:ilvl="0" w:tplc="0000000E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ADA6B87"/>
    <w:multiLevelType w:val="hybridMultilevel"/>
    <w:tmpl w:val="144C17D2"/>
    <w:lvl w:ilvl="0" w:tplc="453A1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B61B0E"/>
    <w:multiLevelType w:val="multilevel"/>
    <w:tmpl w:val="B45A592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 w:cs="PT Astra Serif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 w:cs="PT Astra Serif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 w:cs="PT Astra Serif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 w:cs="PT Astra Serif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 w:cs="PT Astra Serif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" w:cs="PT Astra Serif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 w:cs="PT Astra Serif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" w:cs="PT Astra Serif" w:hint="default"/>
        <w:color w:val="000000"/>
      </w:rPr>
    </w:lvl>
  </w:abstractNum>
  <w:abstractNum w:abstractNumId="5" w15:restartNumberingAfterBreak="0">
    <w:nsid w:val="49C144A6"/>
    <w:multiLevelType w:val="multilevel"/>
    <w:tmpl w:val="24BCAD96"/>
    <w:lvl w:ilvl="0">
      <w:start w:val="28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3706A66"/>
    <w:multiLevelType w:val="multilevel"/>
    <w:tmpl w:val="B45A592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 w:cs="PT Astra Serif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 w:cs="PT Astra Serif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 w:cs="PT Astra Serif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 w:cs="PT Astra Serif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 w:cs="PT Astra Serif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" w:cs="PT Astra Serif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 w:cs="PT Astra Serif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" w:cs="PT Astra Serif" w:hint="default"/>
        <w:color w:val="000000"/>
      </w:rPr>
    </w:lvl>
  </w:abstractNum>
  <w:abstractNum w:abstractNumId="7" w15:restartNumberingAfterBreak="0">
    <w:nsid w:val="7F954D69"/>
    <w:multiLevelType w:val="hybridMultilevel"/>
    <w:tmpl w:val="F83841EE"/>
    <w:lvl w:ilvl="0" w:tplc="0000000E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A"/>
    <w:rsid w:val="000215F4"/>
    <w:rsid w:val="003040BC"/>
    <w:rsid w:val="004108D3"/>
    <w:rsid w:val="004168BD"/>
    <w:rsid w:val="00417031"/>
    <w:rsid w:val="004F2B22"/>
    <w:rsid w:val="0054559A"/>
    <w:rsid w:val="00631A76"/>
    <w:rsid w:val="006C7F86"/>
    <w:rsid w:val="007359F8"/>
    <w:rsid w:val="0094405B"/>
    <w:rsid w:val="0099414C"/>
    <w:rsid w:val="00C0718C"/>
    <w:rsid w:val="00F014D5"/>
    <w:rsid w:val="00F04C30"/>
    <w:rsid w:val="00F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1EAA"/>
  <w15:chartTrackingRefBased/>
  <w15:docId w15:val="{DBAECA01-61F4-4F26-9CD6-08AA6102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5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455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4108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0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Заголовок мой1,СписокСТПр,Абзац списка основной,List Paragraph2,ПАРАГРАФ,Нумерация,список 1,Абзац списка3,List Paragraph,Варианты ответов,СПИСКИ,it_List1,Ненумерованный список,Таблицы нейминг,Булит,Bullet List,FooterText,numbered,lp1"/>
    <w:basedOn w:val="a"/>
    <w:link w:val="a8"/>
    <w:qFormat/>
    <w:rsid w:val="00C0718C"/>
    <w:pPr>
      <w:ind w:left="720"/>
      <w:contextualSpacing/>
    </w:pPr>
  </w:style>
  <w:style w:type="character" w:customStyle="1" w:styleId="a8">
    <w:name w:val="Абзац списка Знак"/>
    <w:aliases w:val="Заголовок мой1 Знак,СписокСТПр Знак,Абзац списка основной Знак,List Paragraph2 Знак,ПАРАГРАФ Знак,Нумерация Знак,список 1 Знак,Абзац списка3 Знак,List Paragraph Знак,Варианты ответов Знак,СПИСКИ Знак,it_List1 Знак,Таблицы нейминг Знак"/>
    <w:link w:val="a7"/>
    <w:uiPriority w:val="34"/>
    <w:qFormat/>
    <w:locked/>
    <w:rsid w:val="00F01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2B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2B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4F2B2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Кормилицына</dc:creator>
  <cp:keywords/>
  <dc:description/>
  <cp:lastModifiedBy>Архитектура</cp:lastModifiedBy>
  <cp:revision>11</cp:revision>
  <dcterms:created xsi:type="dcterms:W3CDTF">2025-07-16T08:46:00Z</dcterms:created>
  <dcterms:modified xsi:type="dcterms:W3CDTF">2025-09-30T06:42:00Z</dcterms:modified>
</cp:coreProperties>
</file>