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9.xml" ContentType="application/vnd.openxmlformats-officedocument.wordprocessingml.header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1.xml" ContentType="application/vnd.openxmlformats-officedocument.wordprocessingml.header+xml"/>
  <Override PartName="/word/media/image1.png" ContentType="image/png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0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tabs>
          <w:tab w:val="clear" w:pos="708"/>
          <w:tab w:val="left" w:pos="709" w:leader="none"/>
        </w:tabs>
        <w:ind w:firstLine="709"/>
        <w:jc w:val="right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</w:p>
    <w:p>
      <w:pPr>
        <w:pStyle w:val="ConsPlusTitle"/>
        <w:tabs>
          <w:tab w:val="clear" w:pos="708"/>
          <w:tab w:val="left" w:pos="709" w:leader="none"/>
        </w:tabs>
        <w:ind w:firstLine="709"/>
        <w:jc w:val="right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</w:p>
    <w:p>
      <w:pPr>
        <w:pStyle w:val="ConsPlusTitle"/>
        <w:tabs>
          <w:tab w:val="clear" w:pos="708"/>
          <w:tab w:val="left" w:pos="709" w:leader="none"/>
        </w:tabs>
        <w:ind w:firstLine="709"/>
        <w:jc w:val="right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  <w:t>Проект</w:t>
      </w:r>
    </w:p>
    <w:p>
      <w:pPr>
        <w:pStyle w:val="ConsPlusTitle"/>
        <w:tabs>
          <w:tab w:val="clear" w:pos="708"/>
          <w:tab w:val="left" w:pos="709" w:leader="none"/>
        </w:tabs>
        <w:ind w:firstLine="709"/>
        <w:jc w:val="center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</w:p>
    <w:p>
      <w:pPr>
        <w:pStyle w:val="ConsPlusTitle"/>
        <w:tabs>
          <w:tab w:val="clear" w:pos="708"/>
          <w:tab w:val="left" w:pos="709" w:leader="none"/>
        </w:tabs>
        <w:ind w:firstLine="709"/>
        <w:jc w:val="center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</w:p>
    <w:p>
      <w:pPr>
        <w:pStyle w:val="ConsPlusTitle"/>
        <w:tabs>
          <w:tab w:val="clear" w:pos="708"/>
          <w:tab w:val="left" w:pos="709" w:leader="none"/>
        </w:tabs>
        <w:ind w:firstLine="709"/>
        <w:jc w:val="center"/>
        <w:rPr>
          <w:rFonts w:ascii="PT Astra Serif" w:hAnsi="PT Astra Serif"/>
          <w:b w:val="false"/>
          <w:sz w:val="27"/>
          <w:szCs w:val="27"/>
        </w:rPr>
      </w:pPr>
      <w:r>
        <w:rPr>
          <w:rFonts w:ascii="PT Astra Serif" w:hAnsi="PT Astra Serif"/>
          <w:b w:val="false"/>
          <w:sz w:val="27"/>
          <w:szCs w:val="27"/>
        </w:rPr>
      </w:r>
    </w:p>
    <w:p>
      <w:pPr>
        <w:pStyle w:val="ConsPlusTitle"/>
        <w:tabs>
          <w:tab w:val="clear" w:pos="708"/>
          <w:tab w:val="left" w:pos="709" w:leader="none"/>
        </w:tabs>
        <w:ind w:firstLine="709"/>
        <w:jc w:val="center"/>
        <w:rPr>
          <w:rFonts w:ascii="PT Astra Serif" w:hAnsi="PT Astra Serif"/>
          <w:b w:val="false"/>
          <w:sz w:val="27"/>
          <w:szCs w:val="27"/>
        </w:rPr>
      </w:pPr>
      <w:r>
        <w:rPr>
          <w:rFonts w:ascii="PT Astra Serif" w:hAnsi="PT Astra Serif"/>
          <w:b w:val="false"/>
          <w:sz w:val="27"/>
          <w:szCs w:val="27"/>
        </w:rPr>
      </w:r>
    </w:p>
    <w:p>
      <w:pPr>
        <w:pStyle w:val="ConsPlusTitle"/>
        <w:tabs>
          <w:tab w:val="clear" w:pos="708"/>
          <w:tab w:val="left" w:pos="709" w:leader="none"/>
        </w:tabs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ПРАВИТЕЛЬСТВО УЛЬЯНОВСКОЙ ОБЛАСТИ</w:t>
      </w:r>
    </w:p>
    <w:p>
      <w:pPr>
        <w:pStyle w:val="ConsPlusTitle"/>
        <w:tabs>
          <w:tab w:val="clear" w:pos="708"/>
          <w:tab w:val="left" w:pos="709" w:leader="none"/>
        </w:tabs>
        <w:jc w:val="center"/>
        <w:rPr>
          <w:rFonts w:ascii="PT Astra Serif" w:hAnsi="PT Astra Serif"/>
          <w:b w:val="false"/>
          <w:sz w:val="27"/>
          <w:szCs w:val="27"/>
        </w:rPr>
      </w:pPr>
      <w:r>
        <w:rPr>
          <w:rFonts w:ascii="PT Astra Serif" w:hAnsi="PT Astra Serif"/>
          <w:b w:val="false"/>
          <w:sz w:val="27"/>
          <w:szCs w:val="27"/>
        </w:rPr>
      </w:r>
    </w:p>
    <w:p>
      <w:pPr>
        <w:pStyle w:val="ConsPlusTitle"/>
        <w:tabs>
          <w:tab w:val="clear" w:pos="708"/>
          <w:tab w:val="left" w:pos="709" w:leader="none"/>
        </w:tabs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П О С Т А Н О В Л Е Н И Е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Об утверждении границ зон охраны объекта культурного наследия регионального значения </w:t>
      </w:r>
      <w:bookmarkStart w:id="0" w:name="_Hlk204588305"/>
      <w:r>
        <w:rPr>
          <w:rFonts w:ascii="PT Astra Serif" w:hAnsi="PT Astra Serif"/>
          <w:b/>
          <w:sz w:val="27"/>
          <w:szCs w:val="27"/>
        </w:rPr>
        <w:t xml:space="preserve">«Покровская церковь», расположенного по адресу: Ульяновская область, город Ульяновск, Ленинский район (с. Карлинское), ул. Ватутина, д. 29 </w:t>
      </w:r>
      <w:bookmarkEnd w:id="0"/>
      <w:r>
        <w:rPr>
          <w:rFonts w:ascii="PT Astra Serif" w:hAnsi="PT Astra Serif"/>
          <w:b/>
          <w:sz w:val="27"/>
          <w:szCs w:val="27"/>
        </w:rPr>
        <w:t>и требований к градостроительным регламентам в границах территорий данных зон</w:t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</w:r>
    </w:p>
    <w:p>
      <w:pPr>
        <w:pStyle w:val="ConsPlus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В соответствии со статьёй 34 Федерального </w:t>
      </w:r>
      <w:hyperlink r:id="rId2">
        <w:r>
          <w:rPr>
            <w:rStyle w:val="Style9"/>
            <w:rFonts w:ascii="PT Astra Serif" w:hAnsi="PT Astra Serif"/>
            <w:sz w:val="27"/>
            <w:szCs w:val="27"/>
          </w:rPr>
          <w:t>закона</w:t>
        </w:r>
      </w:hyperlink>
      <w:r>
        <w:rPr>
          <w:rFonts w:ascii="PT Astra Serif" w:hAnsi="PT Astra Serif"/>
          <w:sz w:val="27"/>
          <w:szCs w:val="27"/>
        </w:rPr>
        <w:t xml:space="preserve"> от 25.06.2002 </w:t>
        <w:br/>
        <w:t>№ 73-ФЗ «Об объектах культурного наследия (памятниках истории и культуры) народов Российской Федерации»,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 и статьёй 9 </w:t>
      </w:r>
      <w:hyperlink r:id="rId3">
        <w:r>
          <w:rPr>
            <w:rStyle w:val="Style9"/>
            <w:rFonts w:ascii="PT Astra Serif" w:hAnsi="PT Astra Serif"/>
            <w:sz w:val="27"/>
            <w:szCs w:val="27"/>
          </w:rPr>
          <w:t>Закона</w:t>
        </w:r>
      </w:hyperlink>
      <w:r>
        <w:rPr>
          <w:rFonts w:ascii="PT Astra Serif" w:hAnsi="PT Astra Serif"/>
          <w:sz w:val="27"/>
          <w:szCs w:val="27"/>
        </w:rPr>
        <w:t xml:space="preserve"> Ульяновской области от 09.03.2006 № 24-ЗО «Об объектах культурного наследия (памятниках истории и культуры) народов Российской Федерации, расположенных на территории Ульяновской области» </w:t>
      </w:r>
      <w:r>
        <w:rPr>
          <w:rFonts w:cs="Times New Roman" w:ascii="PT Astra Serif" w:hAnsi="PT Astra Serif"/>
          <w:sz w:val="27"/>
          <w:szCs w:val="27"/>
        </w:rPr>
        <w:t>Правительство Ульяновской области п о с т а н о в л я е т:</w:t>
      </w:r>
    </w:p>
    <w:p>
      <w:pPr>
        <w:pStyle w:val="ConsPlus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1. Утвердить:</w:t>
      </w:r>
    </w:p>
    <w:p>
      <w:pPr>
        <w:pStyle w:val="Normal"/>
        <w:spacing w:lineRule="auto" w:line="235"/>
        <w:ind w:firstLine="708"/>
        <w:jc w:val="both"/>
        <w:rPr>
          <w:rFonts w:ascii="PT Astra Serif" w:hAnsi="PT Astra Serif"/>
          <w:color w:themeColor="text1" w:val="000000"/>
          <w:sz w:val="27"/>
          <w:szCs w:val="27"/>
          <w:lang w:eastAsia="ar-SA"/>
        </w:rPr>
      </w:pPr>
      <w:r>
        <w:rPr>
          <w:rFonts w:ascii="PT Astra Serif" w:hAnsi="PT Astra Serif"/>
          <w:sz w:val="27"/>
          <w:szCs w:val="27"/>
          <w:lang w:eastAsia="ar-SA"/>
        </w:rPr>
        <w:t xml:space="preserve">1.1. Границы зон охраны объекта культурного наследия регионального значения «Покровская церковь», расположенного по адресу: Ульяновская область, город Ульяновск, Ленинский район (с. Карлинское), ул. Ватутина, д. 29 </w:t>
      </w:r>
      <w:hyperlink r:id="rId4">
        <w:r>
          <w:rPr>
            <w:rStyle w:val="Hyperlink"/>
            <w:rFonts w:ascii="PT Astra Serif" w:hAnsi="PT Astra Serif"/>
            <w:color w:themeColor="text1" w:val="000000"/>
            <w:sz w:val="27"/>
            <w:szCs w:val="27"/>
            <w:u w:val="none"/>
            <w:lang w:eastAsia="ar-SA"/>
          </w:rPr>
          <w:t>(приложение № 1)</w:t>
        </w:r>
      </w:hyperlink>
      <w:r>
        <w:rPr>
          <w:rFonts w:ascii="PT Astra Serif" w:hAnsi="PT Astra Serif"/>
          <w:color w:themeColor="text1" w:val="000000"/>
          <w:sz w:val="27"/>
          <w:szCs w:val="27"/>
          <w:lang w:eastAsia="ar-SA"/>
        </w:rPr>
        <w:t>.</w:t>
      </w:r>
    </w:p>
    <w:p>
      <w:pPr>
        <w:pStyle w:val="Normal"/>
        <w:spacing w:lineRule="auto" w:line="235"/>
        <w:ind w:firstLine="708"/>
        <w:jc w:val="both"/>
        <w:rPr>
          <w:rFonts w:ascii="PT Astra Serif" w:hAnsi="PT Astra Serif"/>
          <w:color w:themeColor="text1" w:val="000000"/>
          <w:sz w:val="27"/>
          <w:szCs w:val="27"/>
          <w:lang w:eastAsia="ar-SA"/>
        </w:rPr>
      </w:pPr>
      <w:r>
        <w:rPr>
          <w:rFonts w:ascii="PT Astra Serif" w:hAnsi="PT Astra Serif"/>
          <w:color w:themeColor="text1" w:val="000000"/>
          <w:sz w:val="27"/>
          <w:szCs w:val="27"/>
          <w:lang w:eastAsia="ar-SA"/>
        </w:rPr>
        <w:t xml:space="preserve">1.2. Требования к градостроительным регламентам в границах территории зон охраны объекта культурного наследия регионального значения «Покровская церковь», расположенного по адресу: Ульяновская область, город Ульяновск, Ленинский район (с. Карлинское), ул. Ватутина, д. 29 </w:t>
      </w:r>
      <w:hyperlink r:id="rId5">
        <w:r>
          <w:rPr>
            <w:rStyle w:val="Hyperlink"/>
            <w:rFonts w:ascii="PT Astra Serif" w:hAnsi="PT Astra Serif"/>
            <w:color w:themeColor="text1" w:val="000000"/>
            <w:sz w:val="27"/>
            <w:szCs w:val="27"/>
            <w:u w:val="none"/>
            <w:lang w:eastAsia="ar-SA"/>
          </w:rPr>
          <w:t>(приложение № 2)</w:t>
        </w:r>
      </w:hyperlink>
      <w:r>
        <w:rPr>
          <w:rFonts w:ascii="PT Astra Serif" w:hAnsi="PT Astra Serif"/>
          <w:color w:themeColor="text1" w:val="000000"/>
          <w:sz w:val="27"/>
          <w:szCs w:val="27"/>
          <w:lang w:eastAsia="ar-SA"/>
        </w:rPr>
        <w:t>.</w:t>
      </w:r>
    </w:p>
    <w:p>
      <w:pPr>
        <w:pStyle w:val="Normal"/>
        <w:spacing w:lineRule="auto" w:line="235"/>
        <w:ind w:firstLine="708"/>
        <w:jc w:val="both"/>
        <w:rPr>
          <w:rFonts w:ascii="PT Astra Serif" w:hAnsi="PT Astra Serif"/>
          <w:spacing w:val="-4"/>
          <w:sz w:val="27"/>
          <w:szCs w:val="27"/>
          <w:lang w:eastAsia="ar-SA"/>
        </w:rPr>
      </w:pPr>
      <w:r>
        <w:rPr>
          <w:rFonts w:ascii="PT Astra Serif" w:hAnsi="PT Astra Serif"/>
          <w:color w:themeColor="text1" w:val="000000"/>
          <w:sz w:val="27"/>
          <w:szCs w:val="27"/>
          <w:lang w:eastAsia="ar-SA"/>
        </w:rPr>
        <w:t>2.</w:t>
      </w:r>
      <w:r>
        <w:rPr>
          <w:rFonts w:ascii="PT Astra Serif" w:hAnsi="PT Astra Serif"/>
          <w:bCs/>
          <w:sz w:val="27"/>
          <w:szCs w:val="27"/>
          <w:lang w:eastAsia="ar-SA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>
      <w:pPr>
        <w:pStyle w:val="Normal"/>
        <w:spacing w:lineRule="auto" w:line="235"/>
        <w:ind w:firstLine="708"/>
        <w:jc w:val="both"/>
        <w:rPr>
          <w:rFonts w:ascii="PT Astra Serif" w:hAnsi="PT Astra Serif"/>
          <w:bCs/>
          <w:sz w:val="27"/>
          <w:szCs w:val="27"/>
          <w:lang w:eastAsia="ar-SA"/>
        </w:rPr>
      </w:pPr>
      <w:r>
        <w:rPr>
          <w:rFonts w:ascii="PT Astra Serif" w:hAnsi="PT Astra Serif"/>
          <w:bCs/>
          <w:sz w:val="27"/>
          <w:szCs w:val="27"/>
          <w:lang w:eastAsia="ar-SA"/>
        </w:rPr>
      </w:r>
    </w:p>
    <w:p>
      <w:pPr>
        <w:pStyle w:val="Normal"/>
        <w:spacing w:lineRule="auto" w:line="235"/>
        <w:ind w:firstLine="708"/>
        <w:jc w:val="both"/>
        <w:rPr>
          <w:rFonts w:ascii="PT Astra Serif" w:hAnsi="PT Astra Serif"/>
          <w:bCs/>
          <w:sz w:val="27"/>
          <w:szCs w:val="27"/>
          <w:lang w:eastAsia="ar-SA"/>
        </w:rPr>
      </w:pPr>
      <w:r>
        <w:rPr>
          <w:rFonts w:ascii="PT Astra Serif" w:hAnsi="PT Astra Serif"/>
          <w:bCs/>
          <w:sz w:val="27"/>
          <w:szCs w:val="27"/>
          <w:lang w:eastAsia="ar-SA"/>
        </w:rPr>
      </w:r>
    </w:p>
    <w:p>
      <w:pPr>
        <w:pStyle w:val="Normal"/>
        <w:spacing w:lineRule="auto" w:line="235"/>
        <w:ind w:firstLine="708"/>
        <w:jc w:val="both"/>
        <w:rPr>
          <w:rFonts w:ascii="PT Astra Serif" w:hAnsi="PT Astra Serif"/>
          <w:bCs/>
          <w:sz w:val="27"/>
          <w:szCs w:val="27"/>
          <w:lang w:eastAsia="ar-SA"/>
        </w:rPr>
      </w:pPr>
      <w:r>
        <w:rPr>
          <w:rFonts w:ascii="PT Astra Serif" w:hAnsi="PT Astra Serif"/>
          <w:bCs/>
          <w:sz w:val="27"/>
          <w:szCs w:val="27"/>
          <w:lang w:eastAsia="ar-SA"/>
        </w:rPr>
      </w:r>
    </w:p>
    <w:p>
      <w:pPr>
        <w:pStyle w:val="Normal"/>
        <w:rPr>
          <w:rFonts w:ascii="PT Astra Serif" w:hAnsi="PT Astra Serif" w:eastAsia="Batang"/>
          <w:sz w:val="27"/>
          <w:szCs w:val="27"/>
        </w:rPr>
      </w:pPr>
      <w:r>
        <w:rPr>
          <w:rFonts w:eastAsia="Batang" w:ascii="PT Astra Serif" w:hAnsi="PT Astra Serif"/>
          <w:sz w:val="27"/>
          <w:szCs w:val="27"/>
        </w:rPr>
        <w:t xml:space="preserve">Председатель 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701" w:right="567" w:gutter="0" w:header="709" w:top="766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rPr>
          <w:rFonts w:ascii="PT Astra Serif" w:hAnsi="PT Astra Serif" w:eastAsia="Batang"/>
          <w:sz w:val="27"/>
          <w:szCs w:val="27"/>
        </w:rPr>
      </w:pPr>
      <w:r>
        <w:rPr>
          <w:rFonts w:eastAsia="Batang" w:ascii="PT Astra Serif" w:hAnsi="PT Astra Serif"/>
          <w:sz w:val="27"/>
          <w:szCs w:val="27"/>
        </w:rPr>
        <w:t>Правительства области                                                                        Г.С.Спирчагов</w:t>
      </w:r>
    </w:p>
    <w:p>
      <w:pPr>
        <w:pStyle w:val="Normal"/>
        <w:numPr>
          <w:ilvl w:val="0"/>
          <w:numId w:val="0"/>
        </w:numPr>
        <w:outlineLvl w:val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 1</w:t>
      </w:r>
    </w:p>
    <w:p>
      <w:pPr>
        <w:pStyle w:val="Normal"/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постановлению Правительства</w:t>
      </w:r>
    </w:p>
    <w:p>
      <w:pPr>
        <w:pStyle w:val="Normal"/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>
      <w:pPr>
        <w:pStyle w:val="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ГРАНИЦЫ </w:t>
      </w:r>
    </w:p>
    <w:p>
      <w:pPr>
        <w:pStyle w:val="Normal"/>
        <w:tabs>
          <w:tab w:val="clear" w:pos="708"/>
          <w:tab w:val="left" w:pos="709" w:leader="none"/>
          <w:tab w:val="left" w:pos="3261" w:leader="none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зон охраны объекта культурного наследия </w:t>
        <w:br/>
        <w:t xml:space="preserve">регионального значения </w:t>
      </w:r>
      <w:bookmarkStart w:id="1" w:name="_Hlk204588489"/>
      <w:r>
        <w:rPr>
          <w:rFonts w:ascii="PT Astra Serif" w:hAnsi="PT Astra Serif"/>
          <w:b/>
          <w:sz w:val="27"/>
          <w:szCs w:val="27"/>
        </w:rPr>
        <w:t xml:space="preserve">«Покровская церковь», расположенного по адресу: Ульяновская область, город Ульяновск, Ленинский район, (с. Карлинское), ул. Ватутина, д. 29 </w:t>
      </w:r>
      <w:bookmarkStart w:id="2" w:name="_Hlk175575341"/>
      <w:bookmarkEnd w:id="1"/>
      <w:bookmarkEnd w:id="2"/>
    </w:p>
    <w:p>
      <w:pPr>
        <w:pStyle w:val="Normal"/>
        <w:tabs>
          <w:tab w:val="clear" w:pos="708"/>
          <w:tab w:val="left" w:pos="709" w:leader="none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ind w:firstLine="708"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 Карта (схема) границ зон охраны объекта культурного наследия регионального значения «Покровская церковь», расположенного по адресу: Ульяновская область, город Ульяновск, Ленинский район (с. Карлинское), ул. Ватутина, д. 29 (далее – объект культурного наследия):</w:t>
      </w:r>
    </w:p>
    <w:p>
      <w:pPr>
        <w:pStyle w:val="ListParagraph"/>
        <w:ind w:firstLine="708"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81915</wp:posOffset>
            </wp:positionH>
            <wp:positionV relativeFrom="paragraph">
              <wp:posOffset>34925</wp:posOffset>
            </wp:positionV>
            <wp:extent cx="5942965" cy="4694555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3183" t="14803" r="31913" b="10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469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ListParagraph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Условные обозначения </w:t>
      </w:r>
    </w:p>
    <w:tbl>
      <w:tblPr>
        <w:tblStyle w:val="af4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drawing>
                <wp:inline distT="0" distB="0" distL="0" distR="0">
                  <wp:extent cx="809625" cy="247650"/>
                  <wp:effectExtent l="0" t="0" r="0" b="0"/>
                  <wp:docPr id="2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69695" t="16637" r="26173" b="80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kern w:val="0"/>
                <w:lang w:val="ru-RU" w:bidi="ar-SA"/>
              </w:rPr>
              <w:t>Объект культурного наследия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drawing>
                <wp:inline distT="0" distB="0" distL="0" distR="0">
                  <wp:extent cx="809625" cy="238125"/>
                  <wp:effectExtent l="0" t="0" r="0" b="0"/>
                  <wp:docPr id="3" name="Изображение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69740" t="25585" r="26126" b="71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kern w:val="0"/>
                <w:lang w:val="ru-RU" w:bidi="ar-SA"/>
              </w:rPr>
              <w:t>Дорожно-транспортные сети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drawing>
                <wp:inline distT="0" distB="0" distL="0" distR="0">
                  <wp:extent cx="895350" cy="257175"/>
                  <wp:effectExtent l="0" t="0" r="0" b="0"/>
                  <wp:docPr id="4" name="Изображение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69646" t="32248" r="25785" b="64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kern w:val="0"/>
                <w:lang w:val="ru-RU" w:bidi="ar-SA"/>
              </w:rPr>
              <w:t>Нежилая хозяйственная застройка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drawing>
                <wp:inline distT="0" distB="0" distL="0" distR="0">
                  <wp:extent cx="876300" cy="238125"/>
                  <wp:effectExtent l="0" t="0" r="0" b="0"/>
                  <wp:docPr id="5" name="Изображение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69791" t="35629" r="25736" b="613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kern w:val="0"/>
                <w:lang w:val="ru-RU" w:bidi="ar-SA"/>
              </w:rPr>
              <w:t>Жилая и административная застройка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drawing>
                <wp:inline distT="0" distB="0" distL="0" distR="0">
                  <wp:extent cx="857250" cy="276225"/>
                  <wp:effectExtent l="0" t="0" r="0" b="0"/>
                  <wp:docPr id="6" name="Изображение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69791" t="38786" r="25841" b="57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kern w:val="0"/>
                <w:lang w:val="ru-RU" w:bidi="ar-SA"/>
              </w:rPr>
              <w:t>Граница территории объекта культурного наследия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drawing>
                <wp:inline distT="0" distB="0" distL="0" distR="0">
                  <wp:extent cx="809625" cy="200025"/>
                  <wp:effectExtent l="0" t="0" r="0" b="0"/>
                  <wp:docPr id="7" name="Изображение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69740" t="42166" r="26126" b="552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kern w:val="0"/>
                <w:lang w:val="ru-RU" w:bidi="ar-SA"/>
              </w:rPr>
              <w:t>Охранная зона объекта культурного наследия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drawing>
                <wp:inline distT="0" distB="0" distL="0" distR="0">
                  <wp:extent cx="704850" cy="161925"/>
                  <wp:effectExtent l="0" t="0" r="0" b="0"/>
                  <wp:docPr id="8" name="Изображение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70083" t="45074" r="26319" b="528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/>
              <w:contextualSpacing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kern w:val="0"/>
                <w:lang w:val="ru-RU" w:bidi="ar-SA"/>
              </w:rPr>
              <w:t>Номер характерной точки границ охранной зоны объекта культурного наследия</w:t>
            </w:r>
          </w:p>
        </w:tc>
      </w:tr>
    </w:tbl>
    <w:p>
      <w:pPr>
        <w:pStyle w:val="Normal"/>
        <w:spacing w:lineRule="auto" w:line="242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r>
        <w:rPr>
          <w:rFonts w:cs="PT Astra Serif" w:ascii="PT Astra Serif" w:hAnsi="PT Astra Serif"/>
          <w:bCs/>
          <w:sz w:val="28"/>
          <w:szCs w:val="28"/>
          <w:lang w:bidi="ru-RU"/>
        </w:rPr>
      </w:r>
    </w:p>
    <w:p>
      <w:pPr>
        <w:pStyle w:val="Normal"/>
        <w:spacing w:lineRule="auto" w:line="242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r>
        <w:rPr>
          <w:rFonts w:cs="PT Astra Serif" w:ascii="PT Astra Serif" w:hAnsi="PT Astra Serif"/>
          <w:bCs/>
          <w:sz w:val="28"/>
          <w:szCs w:val="28"/>
          <w:lang w:bidi="ru-RU"/>
        </w:rPr>
      </w:r>
    </w:p>
    <w:p>
      <w:pPr>
        <w:pStyle w:val="Normal"/>
        <w:spacing w:lineRule="auto" w:line="242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r>
        <w:rPr>
          <w:rFonts w:ascii="PT Astra Serif" w:hAnsi="PT Astra Serif"/>
          <w:bCs/>
          <w:sz w:val="28"/>
          <w:szCs w:val="28"/>
        </w:rPr>
        <w:tab/>
        <w:t xml:space="preserve">2. </w:t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Координаты характерных точек </w:t>
      </w:r>
      <w:r>
        <w:rPr>
          <w:rFonts w:ascii="PT Astra Serif" w:hAnsi="PT Astra Serif"/>
          <w:bCs/>
          <w:sz w:val="28"/>
          <w:szCs w:val="28"/>
        </w:rPr>
        <w:t>охранной зоны объекта культурного наследия.</w:t>
      </w:r>
      <w:r>
        <w:rPr>
          <w:rFonts w:cs="PT Astra Serif" w:ascii="PT Astra Serif" w:hAnsi="PT Astra Serif"/>
          <w:bCs/>
          <w:sz w:val="28"/>
          <w:szCs w:val="28"/>
          <w:lang w:bidi="ru-RU"/>
        </w:rPr>
        <w:t xml:space="preserve"> </w:t>
      </w:r>
    </w:p>
    <w:p>
      <w:pPr>
        <w:pStyle w:val="Normal"/>
        <w:spacing w:lineRule="auto" w:line="242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r>
        <w:rPr>
          <w:rFonts w:cs="PT Astra Serif" w:ascii="PT Astra Serif" w:hAnsi="PT Astra Serif"/>
          <w:bCs/>
          <w:sz w:val="28"/>
          <w:szCs w:val="28"/>
          <w:lang w:bidi="ru-RU"/>
        </w:rPr>
      </w:r>
    </w:p>
    <w:tbl>
      <w:tblPr>
        <w:tblW w:w="967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858"/>
        <w:gridCol w:w="3688"/>
        <w:gridCol w:w="4125"/>
      </w:tblGrid>
      <w:tr>
        <w:trPr>
          <w:cantSplit w:val="true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Наименование (номер) характерной точки</w:t>
            </w:r>
          </w:p>
        </w:tc>
        <w:tc>
          <w:tcPr>
            <w:tcW w:w="7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Координаты характерных точек</w:t>
            </w:r>
          </w:p>
          <w:p>
            <w:pPr>
              <w:pStyle w:val="Normal"/>
              <w:spacing w:lineRule="auto" w:line="276" w:before="60" w:after="60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в местной системе координат (МСК-73)</w:t>
            </w:r>
          </w:p>
        </w:tc>
      </w:tr>
      <w:tr>
        <w:trPr>
          <w:cantSplit w:val="true"/>
        </w:trPr>
        <w:tc>
          <w:tcPr>
            <w:tcW w:w="18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Координата X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60" w:after="60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Координата Y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3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509029.49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2247992.13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509039.71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2248028.07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509048.15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2248029.53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509049.00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2248044.87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509041.28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2248067.81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509031.59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2248080.45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509025.72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2248083.07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509017.97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2248081.13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509002.12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2248066.38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508998.82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2248017.18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508998.77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2247991.51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509026.14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2247992.27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509025.11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2248022.46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509025.41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2248031.33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509027.85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2248031.19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509028.80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2248047.61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509030.50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2248047.54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509030.61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2248050.75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509028.72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2248050.84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509028.89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2248055.67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509027.75</w:t>
            </w: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2248055.76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509027.91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2248059.00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509025.24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2248062.07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509020.61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2248062.41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509017.71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2248059.74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509017.53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2248056.31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509016.17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2248056.36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509015.94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2248051.49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509014.11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2248051.62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509013.95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2248048.23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509015.45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2248048.14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509014.71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2248032.42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509017.26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2248022.28</w:t>
            </w:r>
          </w:p>
        </w:tc>
      </w:tr>
      <w:tr>
        <w:trPr>
          <w:cantSplit w:val="true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509016.89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PT Astra Serif" w:hAnsi="PT Astra Serif"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ascii="PT Astra Serif" w:hAnsi="PT Astra Serif"/>
                <w:color w:val="000000"/>
                <w:sz w:val="28"/>
                <w:szCs w:val="28"/>
                <w:lang w:eastAsia="en-US"/>
              </w:rPr>
              <w:t>2248022.83</w:t>
            </w:r>
          </w:p>
        </w:tc>
      </w:tr>
    </w:tbl>
    <w:p>
      <w:pPr>
        <w:pStyle w:val="Normal"/>
        <w:spacing w:lineRule="auto" w:line="242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r>
        <w:rPr>
          <w:rFonts w:cs="PT Astra Serif" w:ascii="PT Astra Serif" w:hAnsi="PT Astra Serif"/>
          <w:bCs/>
          <w:sz w:val="28"/>
          <w:szCs w:val="28"/>
          <w:lang w:bidi="ru-RU"/>
        </w:rPr>
      </w:r>
    </w:p>
    <w:p>
      <w:pPr>
        <w:pStyle w:val="Normal"/>
        <w:spacing w:lineRule="auto" w:line="242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r>
        <w:rPr>
          <w:rFonts w:cs="PT Astra Serif" w:ascii="PT Astra Serif" w:hAnsi="PT Astra Serif"/>
          <w:bCs/>
          <w:sz w:val="28"/>
          <w:szCs w:val="28"/>
          <w:lang w:bidi="ru-RU"/>
        </w:rPr>
      </w:r>
    </w:p>
    <w:p>
      <w:pPr>
        <w:sectPr>
          <w:headerReference w:type="default" r:id="rId17"/>
          <w:headerReference w:type="first" r:id="rId18"/>
          <w:type w:val="nextPage"/>
          <w:pgSz w:w="11906" w:h="16838"/>
          <w:pgMar w:left="1701" w:right="567" w:gutter="0" w:header="709" w:top="766" w:footer="0" w:bottom="1134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jc w:val="center"/>
        <w:rPr>
          <w:rFonts w:ascii="PT Astra Serif" w:hAnsi="PT Astra Serif"/>
          <w:bCs/>
          <w:sz w:val="28"/>
          <w:szCs w:val="28"/>
        </w:rPr>
      </w:pPr>
      <w:r>
        <w:rPr/>
        <w:t>__________________</w:t>
      </w:r>
    </w:p>
    <w:p>
      <w:pPr>
        <w:pStyle w:val="Normal"/>
        <w:spacing w:lineRule="auto" w:line="24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 2</w:t>
      </w:r>
    </w:p>
    <w:p>
      <w:pPr>
        <w:pStyle w:val="Normal"/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постановлению Правительства</w:t>
      </w:r>
    </w:p>
    <w:p>
      <w:pPr>
        <w:pStyle w:val="Normal"/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>
      <w:pPr>
        <w:pStyle w:val="Normal"/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bCs/>
          <w:sz w:val="28"/>
          <w:szCs w:val="28"/>
        </w:rPr>
        <w:t>ТРЕБОВАНИЯ</w:t>
        <w:br/>
        <w:t>к градостроительным регламентам в границах территории зон охраны объекта культурного наследия регионального значения «</w:t>
      </w:r>
      <w:r>
        <w:rPr>
          <w:rFonts w:ascii="PT Astra Serif" w:hAnsi="PT Astra Serif"/>
          <w:b/>
          <w:sz w:val="27"/>
          <w:szCs w:val="27"/>
        </w:rPr>
        <w:t xml:space="preserve">Покровская церковь», расположенного по адресу: Ульяновская область, город Ульяновск, Ленинский район (с. Карлинское), ул. Ватутина, д. 29 </w:t>
      </w:r>
    </w:p>
    <w:p>
      <w:pPr>
        <w:pStyle w:val="Normal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</w:r>
    </w:p>
    <w:p>
      <w:pPr>
        <w:pStyle w:val="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 границах охранной зоны объекта культурного наследия запрещается:</w:t>
      </w:r>
    </w:p>
    <w:p>
      <w:pPr>
        <w:pStyle w:val="Normal"/>
        <w:ind w:firstLine="708"/>
        <w:jc w:val="both"/>
        <w:rPr>
          <w:rFonts w:ascii="PT Astra Serif" w:hAnsi="PT Astra Serif" w:eastAsia="Calibri" w:cs="Arial" w:eastAsiaTheme="minorHAnsi"/>
          <w:sz w:val="28"/>
          <w:szCs w:val="28"/>
          <w:lang w:eastAsia="en-US"/>
          <w14:ligatures w14:val="standardContextual"/>
        </w:rPr>
      </w:pPr>
      <w:r>
        <w:rPr>
          <w:rFonts w:eastAsia="Calibri" w:cs="Arial" w:ascii="PT Astra Serif" w:hAnsi="PT Astra Serif" w:eastAsiaTheme="minorHAnsi"/>
          <w:sz w:val="28"/>
          <w:szCs w:val="28"/>
          <w:lang w:eastAsia="en-US"/>
          <w14:ligatures w14:val="standardContextual"/>
        </w:rPr>
        <w:t>1) строительство, за исключением линейных объектов и применения специальных мер, направленных на сохранение и (или) восстановление (регенерацию) историко-градостроительной 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среды);</w:t>
      </w:r>
    </w:p>
    <w:p>
      <w:pPr>
        <w:pStyle w:val="Normal"/>
        <w:ind w:firstLine="708"/>
        <w:jc w:val="both"/>
        <w:rPr>
          <w:rFonts w:ascii="PT Astra Serif" w:hAnsi="PT Astra Serif" w:eastAsia="Calibri" w:cs="Arial" w:eastAsiaTheme="minorHAnsi"/>
          <w:sz w:val="28"/>
          <w:szCs w:val="28"/>
          <w:lang w:eastAsia="en-US"/>
          <w14:ligatures w14:val="standardContextual"/>
        </w:rPr>
      </w:pPr>
      <w:r>
        <w:rPr>
          <w:rFonts w:eastAsia="Calibri" w:cs="Arial" w:ascii="PT Astra Serif" w:hAnsi="PT Astra Serif" w:eastAsiaTheme="minorHAnsi"/>
          <w:sz w:val="28"/>
          <w:szCs w:val="28"/>
          <w:lang w:eastAsia="en-US"/>
          <w14:ligatures w14:val="standardContextual"/>
        </w:rPr>
        <w:t>2) использование строительных технологий, оказывающих негативное воздействие на объекты культурного наследия и историческую застройку;</w:t>
      </w:r>
    </w:p>
    <w:p>
      <w:pPr>
        <w:pStyle w:val="Normal"/>
        <w:ind w:firstLine="708"/>
        <w:jc w:val="both"/>
        <w:rPr>
          <w:rFonts w:ascii="PT Astra Serif" w:hAnsi="PT Astra Serif" w:eastAsia="Calibri" w:cs="Arial" w:eastAsiaTheme="minorHAnsi"/>
          <w:sz w:val="28"/>
          <w:szCs w:val="28"/>
          <w:lang w:eastAsia="en-US"/>
          <w14:ligatures w14:val="standardContextual"/>
        </w:rPr>
      </w:pPr>
      <w:r>
        <w:rPr>
          <w:rFonts w:eastAsia="Calibri" w:cs="Arial" w:ascii="PT Astra Serif" w:hAnsi="PT Astra Serif" w:eastAsiaTheme="minorHAnsi"/>
          <w:sz w:val="28"/>
          <w:szCs w:val="28"/>
          <w:lang w:eastAsia="en-US"/>
          <w14:ligatures w14:val="standardContextual"/>
        </w:rPr>
        <w:t>3) размещение взрыво- и пожароопасных объектов, угрожающих сохранности объектов культурного наследия;</w:t>
      </w:r>
    </w:p>
    <w:p>
      <w:pPr>
        <w:pStyle w:val="Normal"/>
        <w:ind w:firstLine="708"/>
        <w:jc w:val="both"/>
        <w:rPr>
          <w:rFonts w:ascii="PT Astra Serif" w:hAnsi="PT Astra Serif" w:eastAsia="Calibri" w:cs="Arial" w:eastAsiaTheme="minorHAnsi"/>
          <w:sz w:val="28"/>
          <w:szCs w:val="28"/>
          <w:lang w:eastAsia="en-US"/>
          <w14:ligatures w14:val="standardContextual"/>
        </w:rPr>
      </w:pPr>
      <w:r>
        <w:rPr>
          <w:rFonts w:eastAsia="Calibri" w:cs="Arial" w:ascii="PT Astra Serif" w:hAnsi="PT Astra Serif" w:eastAsiaTheme="minorHAnsi"/>
          <w:sz w:val="28"/>
          <w:szCs w:val="28"/>
          <w:lang w:eastAsia="en-US"/>
          <w14:ligatures w14:val="standardContextual"/>
        </w:rPr>
        <w:t>4) строительство линейных объектов наземным и надземным способом, за исключением автомобильных дорог и случаев, если такое строительство направлено на минимизацию негативного воздействия на объект культурного наследия и его историко-градостроительную и (или) природную среду, или необходимо для обеспечения его функционирования или обеспечения жизнедеятельности населения;</w:t>
      </w:r>
    </w:p>
    <w:p>
      <w:pPr>
        <w:pStyle w:val="Normal"/>
        <w:ind w:firstLine="708"/>
        <w:jc w:val="both"/>
        <w:rPr>
          <w:rFonts w:ascii="PT Astra Serif" w:hAnsi="PT Astra Serif" w:eastAsia="Calibri" w:cs="Arial" w:eastAsiaTheme="minorHAnsi"/>
          <w:sz w:val="28"/>
          <w:szCs w:val="28"/>
          <w:lang w:eastAsia="en-US"/>
          <w14:ligatures w14:val="standardContextual"/>
        </w:rPr>
      </w:pPr>
      <w:r>
        <w:rPr>
          <w:rFonts w:eastAsia="Calibri" w:cs="Arial" w:ascii="PT Astra Serif" w:hAnsi="PT Astra Serif" w:eastAsiaTheme="minorHAnsi"/>
          <w:sz w:val="28"/>
          <w:szCs w:val="28"/>
          <w:lang w:eastAsia="en-US"/>
          <w14:ligatures w14:val="standardContextual"/>
        </w:rPr>
        <w:t>5) реконструкция объектов капитального строительства с увеличением существующих объемно-пространственных параметров за исключением случаев, если такая реконструкция необходима для обеспечения функционирования объекта культурного наследия;</w:t>
      </w:r>
    </w:p>
    <w:p>
      <w:pPr>
        <w:pStyle w:val="Normal"/>
        <w:ind w:firstLine="708"/>
        <w:jc w:val="both"/>
        <w:rPr>
          <w:rFonts w:ascii="PT Astra Serif" w:hAnsi="PT Astra Serif" w:eastAsia="Calibri" w:cs="Arial" w:eastAsiaTheme="minorHAnsi"/>
          <w:sz w:val="28"/>
          <w:szCs w:val="28"/>
          <w:lang w:eastAsia="en-US"/>
          <w14:ligatures w14:val="standardContextual"/>
        </w:rPr>
      </w:pPr>
      <w:r>
        <w:rPr>
          <w:rFonts w:eastAsia="Calibri" w:cs="Arial" w:ascii="PT Astra Serif" w:hAnsi="PT Astra Serif" w:eastAsiaTheme="minorHAnsi"/>
          <w:sz w:val="28"/>
          <w:szCs w:val="28"/>
          <w:lang w:eastAsia="en-US"/>
          <w14:ligatures w14:val="standardContextual"/>
        </w:rPr>
        <w:t>6) применение для наружной отделки фасадов объектов капитального строительства строительных материалов, цветовых решений, не соответствующих следующим требованиям:</w:t>
      </w:r>
    </w:p>
    <w:p>
      <w:pPr>
        <w:pStyle w:val="Normal"/>
        <w:jc w:val="both"/>
        <w:rPr>
          <w:rFonts w:ascii="PT Astra Serif" w:hAnsi="PT Astra Serif" w:eastAsia="Calibri" w:cs="Arial" w:eastAsiaTheme="minorHAnsi"/>
          <w:sz w:val="28"/>
          <w:szCs w:val="28"/>
          <w:lang w:eastAsia="en-US"/>
          <w14:ligatures w14:val="standardContextual"/>
        </w:rPr>
      </w:pPr>
      <w:r>
        <w:rPr>
          <w:rFonts w:eastAsia="Calibri" w:cs="Arial" w:ascii="PT Astra Serif" w:hAnsi="PT Astra Serif" w:eastAsiaTheme="minorHAnsi"/>
          <w:sz w:val="28"/>
          <w:szCs w:val="28"/>
          <w:lang w:eastAsia="en-US"/>
          <w14:ligatures w14:val="standardContextual"/>
        </w:rPr>
        <w:tab/>
        <w:t>- применение для наружной отделки фасадов объектов капитального строительства строительных и отделочных материалов, указанных в приложении №1 к настоящим требованиям;</w:t>
      </w:r>
    </w:p>
    <w:p>
      <w:pPr>
        <w:pStyle w:val="Normal"/>
        <w:jc w:val="both"/>
        <w:rPr>
          <w:rFonts w:ascii="PT Astra Serif" w:hAnsi="PT Astra Serif" w:eastAsia="Calibri" w:cs="Arial" w:eastAsiaTheme="minorHAnsi"/>
          <w:sz w:val="28"/>
          <w:szCs w:val="28"/>
          <w:lang w:eastAsia="en-US"/>
          <w14:ligatures w14:val="standardContextual"/>
        </w:rPr>
      </w:pPr>
      <w:r>
        <w:rPr>
          <w:rFonts w:eastAsia="Calibri" w:cs="Arial" w:ascii="PT Astra Serif" w:hAnsi="PT Astra Serif" w:eastAsiaTheme="minorHAnsi"/>
          <w:sz w:val="28"/>
          <w:szCs w:val="28"/>
          <w:lang w:eastAsia="en-US"/>
          <w14:ligatures w14:val="standardContextual"/>
        </w:rPr>
        <w:tab/>
        <w:t>- применение для наружной отделки фасадов объектов капитального строительства цветовых решений, не соответствующих указанным в приложении №2 к настоящим требованиям;</w:t>
      </w:r>
    </w:p>
    <w:p>
      <w:pPr>
        <w:pStyle w:val="Normal"/>
        <w:ind w:firstLine="708"/>
        <w:jc w:val="both"/>
        <w:rPr>
          <w:rFonts w:ascii="PT Astra Serif" w:hAnsi="PT Astra Serif" w:eastAsia="Calibri" w:cs="Arial" w:eastAsiaTheme="minorHAnsi"/>
          <w:sz w:val="28"/>
          <w:szCs w:val="28"/>
          <w:lang w:eastAsia="en-US"/>
          <w14:ligatures w14:val="standardContextual"/>
        </w:rPr>
      </w:pPr>
      <w:r>
        <w:rPr>
          <w:rFonts w:eastAsia="Calibri" w:cs="Arial" w:ascii="PT Astra Serif" w:hAnsi="PT Astra Serif" w:eastAsiaTheme="minorHAnsi"/>
          <w:sz w:val="28"/>
          <w:szCs w:val="28"/>
          <w:lang w:eastAsia="en-US"/>
          <w14:ligatures w14:val="standardContextual"/>
        </w:rPr>
        <w:t>7) размещение рекламы, за исключением вывесок ориентирующей  информации (улиц, объектов социально-бытового назначения), оформления событийного характера (мобильные информационные конструкции), включая праздничное оформление;</w:t>
      </w:r>
    </w:p>
    <w:p>
      <w:pPr>
        <w:pStyle w:val="Normal"/>
        <w:ind w:firstLine="708"/>
        <w:jc w:val="both"/>
        <w:rPr>
          <w:rFonts w:ascii="PT Astra Serif" w:hAnsi="PT Astra Serif" w:eastAsia="Calibri" w:cs="Arial" w:eastAsiaTheme="minorHAnsi"/>
          <w:sz w:val="28"/>
          <w:szCs w:val="28"/>
          <w:lang w:eastAsia="en-US"/>
          <w14:ligatures w14:val="standardContextual"/>
        </w:rPr>
      </w:pPr>
      <w:r>
        <w:rPr>
          <w:rFonts w:eastAsia="Calibri" w:cs="Arial" w:ascii="PT Astra Serif" w:hAnsi="PT Astra Serif" w:eastAsiaTheme="minorHAnsi"/>
          <w:sz w:val="28"/>
          <w:szCs w:val="28"/>
          <w:lang w:eastAsia="en-US"/>
          <w14:ligatures w14:val="standardContextual"/>
        </w:rPr>
        <w:t>8) размещение некапитальных строений, сооружений и объектов, включая автостоянки, киоски, навесы, павильоны, лотки;</w:t>
      </w:r>
    </w:p>
    <w:p>
      <w:pPr>
        <w:pStyle w:val="Normal"/>
        <w:ind w:firstLine="708"/>
        <w:jc w:val="both"/>
        <w:rPr>
          <w:rFonts w:ascii="PT Astra Serif" w:hAnsi="PT Astra Serif" w:eastAsia="Calibri" w:cs="Arial" w:eastAsiaTheme="minorHAnsi"/>
          <w:sz w:val="28"/>
          <w:szCs w:val="28"/>
          <w:lang w:eastAsia="en-US"/>
          <w14:ligatures w14:val="standardContextual"/>
        </w:rPr>
      </w:pPr>
      <w:r>
        <w:rPr>
          <w:rFonts w:eastAsia="Calibri" w:cs="Arial" w:ascii="PT Astra Serif" w:hAnsi="PT Astra Serif" w:eastAsiaTheme="minorHAnsi"/>
          <w:sz w:val="28"/>
          <w:szCs w:val="28"/>
          <w:lang w:eastAsia="en-US"/>
          <w14:ligatures w14:val="standardContextual"/>
        </w:rPr>
        <w:t>9) размещение базовых станций сотовой связи, башенных и антенно-мачтовых конструкций, включая телевизионные и радиоантенны;</w:t>
      </w:r>
    </w:p>
    <w:p>
      <w:pPr>
        <w:pStyle w:val="Normal"/>
        <w:ind w:firstLine="708"/>
        <w:jc w:val="both"/>
        <w:rPr>
          <w:rFonts w:ascii="PT Astra Serif" w:hAnsi="PT Astra Serif" w:eastAsia="Calibri" w:cs="Arial" w:eastAsiaTheme="minorHAnsi"/>
          <w:sz w:val="28"/>
          <w:szCs w:val="28"/>
          <w:lang w:eastAsia="en-US"/>
          <w14:ligatures w14:val="standardContextual"/>
        </w:rPr>
      </w:pPr>
      <w:r>
        <w:rPr>
          <w:rFonts w:eastAsia="Calibri" w:cs="Arial" w:ascii="PT Astra Serif" w:hAnsi="PT Astra Serif" w:eastAsiaTheme="minorHAnsi"/>
          <w:sz w:val="28"/>
          <w:szCs w:val="28"/>
          <w:lang w:eastAsia="en-US"/>
          <w14:ligatures w14:val="standardContextual"/>
        </w:rPr>
        <w:t>10) проведение работ в области благоустройства, не предусматривающих соблюдение следующих требований:</w:t>
      </w:r>
    </w:p>
    <w:p>
      <w:pPr>
        <w:pStyle w:val="Normal"/>
        <w:ind w:firstLine="708"/>
        <w:jc w:val="both"/>
        <w:rPr>
          <w:rFonts w:ascii="PT Astra Serif" w:hAnsi="PT Astra Serif" w:eastAsia="Calibri" w:cs="Arial" w:eastAsiaTheme="minorHAnsi"/>
          <w:sz w:val="28"/>
          <w:szCs w:val="28"/>
          <w:lang w:eastAsia="en-US"/>
          <w14:ligatures w14:val="standardContextual"/>
        </w:rPr>
      </w:pPr>
      <w:r>
        <w:rPr>
          <w:rFonts w:eastAsia="Calibri" w:cs="Arial" w:ascii="PT Astra Serif" w:hAnsi="PT Astra Serif" w:eastAsiaTheme="minorHAnsi"/>
          <w:sz w:val="28"/>
          <w:szCs w:val="28"/>
          <w:lang w:eastAsia="en-US"/>
          <w14:ligatures w14:val="standardContextual"/>
        </w:rPr>
        <w:t>- использование в отделке пешеходных дорожек, площадок традиционных (каменная брусчатка, гранит) или имитирующих натуральные материалы;</w:t>
      </w:r>
    </w:p>
    <w:p>
      <w:pPr>
        <w:pStyle w:val="Normal"/>
        <w:ind w:firstLine="708"/>
        <w:jc w:val="both"/>
        <w:rPr>
          <w:rFonts w:ascii="PT Astra Serif" w:hAnsi="PT Astra Serif" w:eastAsia="Calibri" w:cs="Arial" w:eastAsiaTheme="minorHAnsi"/>
          <w:sz w:val="28"/>
          <w:szCs w:val="28"/>
          <w:lang w:eastAsia="en-US"/>
          <w14:ligatures w14:val="standardContextual"/>
        </w:rPr>
      </w:pPr>
      <w:r>
        <w:rPr>
          <w:rFonts w:eastAsia="Calibri" w:cs="Arial" w:ascii="PT Astra Serif" w:hAnsi="PT Astra Serif" w:eastAsiaTheme="minorHAnsi"/>
          <w:sz w:val="28"/>
          <w:szCs w:val="28"/>
          <w:lang w:eastAsia="en-US"/>
          <w14:ligatures w14:val="standardContextual"/>
        </w:rPr>
        <w:t>- установка элементов освещения, малых архитектурных форм, соответствующих по стилю и масштабу исторической градостроительной среде (фонарные столбы, скамьи, урны, ограждения) с применением традиционных материалов, характерных исторических или стилизованных элементов;</w:t>
      </w:r>
    </w:p>
    <w:p>
      <w:pPr>
        <w:pStyle w:val="Normal"/>
        <w:ind w:firstLine="708"/>
        <w:jc w:val="both"/>
        <w:rPr>
          <w:rFonts w:ascii="PT Astra Serif" w:hAnsi="PT Astra Serif" w:eastAsia="Calibri" w:cs="Arial" w:eastAsiaTheme="minorHAnsi"/>
          <w:sz w:val="28"/>
          <w:szCs w:val="28"/>
          <w:lang w:eastAsia="en-US"/>
          <w14:ligatures w14:val="standardContextual"/>
        </w:rPr>
      </w:pPr>
      <w:r>
        <w:rPr>
          <w:rFonts w:eastAsia="Calibri" w:cs="Arial" w:ascii="PT Astra Serif" w:hAnsi="PT Astra Serif" w:eastAsiaTheme="minorHAnsi"/>
          <w:sz w:val="28"/>
          <w:szCs w:val="28"/>
          <w:lang w:eastAsia="en-US"/>
          <w14:ligatures w14:val="standardContextual"/>
        </w:rPr>
        <w:t>- исключение использования в качестве материалов ограждений металлических листов (в том числе - профилированных), железобетонных конструкций;</w:t>
      </w:r>
    </w:p>
    <w:p>
      <w:pPr>
        <w:pStyle w:val="Normal"/>
        <w:ind w:firstLine="708"/>
        <w:jc w:val="both"/>
        <w:rPr>
          <w:rFonts w:ascii="PT Astra Serif" w:hAnsi="PT Astra Serif" w:eastAsia="Calibri" w:cs="Arial" w:eastAsiaTheme="minorHAnsi"/>
          <w:sz w:val="28"/>
          <w:szCs w:val="28"/>
          <w:lang w:eastAsia="en-US"/>
          <w14:ligatures w14:val="standardContextual"/>
        </w:rPr>
      </w:pPr>
      <w:r>
        <w:rPr>
          <w:rFonts w:eastAsia="Calibri" w:cs="Arial" w:ascii="PT Astra Serif" w:hAnsi="PT Astra Serif" w:eastAsiaTheme="minorHAnsi"/>
          <w:sz w:val="28"/>
          <w:szCs w:val="28"/>
          <w:lang w:eastAsia="en-US"/>
          <w14:ligatures w14:val="standardContextual"/>
        </w:rPr>
        <w:t>- установка остановочных комплексов общественного транспорта каркасного типа с заполнением светопрозрачными материалами;</w:t>
      </w:r>
    </w:p>
    <w:p>
      <w:pPr>
        <w:pStyle w:val="Normal"/>
        <w:ind w:firstLine="708"/>
        <w:jc w:val="both"/>
        <w:rPr>
          <w:rFonts w:ascii="PT Astra Serif" w:hAnsi="PT Astra Serif" w:eastAsia="Calibri" w:cs="Arial" w:eastAsiaTheme="minorHAnsi"/>
          <w:sz w:val="28"/>
          <w:szCs w:val="28"/>
          <w:lang w:eastAsia="en-US"/>
          <w14:ligatures w14:val="standardContextual"/>
        </w:rPr>
      </w:pPr>
      <w:r>
        <w:rPr>
          <w:rFonts w:eastAsia="Calibri" w:cs="Arial" w:ascii="PT Astra Serif" w:hAnsi="PT Astra Serif" w:eastAsiaTheme="minorHAnsi"/>
          <w:sz w:val="28"/>
          <w:szCs w:val="28"/>
          <w:lang w:eastAsia="en-US"/>
          <w14:ligatures w14:val="standardContextual"/>
        </w:rPr>
        <w:t>11) размещение отходов производства и потребления, устройство складов и захоронений ядохимикатов.</w:t>
      </w:r>
    </w:p>
    <w:p>
      <w:pPr>
        <w:pStyle w:val="Normal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                                            </w:t>
      </w:r>
    </w:p>
    <w:p>
      <w:pPr>
        <w:pStyle w:val="Normal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sectPr>
          <w:headerReference w:type="default" r:id="rId19"/>
          <w:headerReference w:type="first" r:id="rId20"/>
          <w:type w:val="nextPage"/>
          <w:pgSz w:w="11906" w:h="16838"/>
          <w:pgMar w:left="1701" w:right="567" w:gutter="0" w:header="709" w:top="766" w:footer="0" w:bottom="1134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                                              </w:t>
      </w:r>
      <w:r>
        <w:rPr>
          <w:rFonts w:ascii="PT Astra Serif" w:hAnsi="PT Astra Serif"/>
          <w:bCs/>
          <w:sz w:val="28"/>
          <w:szCs w:val="28"/>
        </w:rPr>
        <w:t>__________________</w:t>
      </w:r>
    </w:p>
    <w:p>
      <w:pPr>
        <w:pStyle w:val="Normal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 1</w:t>
      </w:r>
    </w:p>
    <w:p>
      <w:pPr>
        <w:pStyle w:val="Normal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567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Т</w:t>
      </w:r>
      <w:r>
        <w:rPr>
          <w:rFonts w:ascii="PT Astra Serif" w:hAnsi="PT Astra Serif"/>
          <w:bCs/>
          <w:sz w:val="28"/>
          <w:szCs w:val="28"/>
        </w:rPr>
        <w:t>ребованиям</w:t>
      </w:r>
    </w:p>
    <w:p>
      <w:pPr>
        <w:pStyle w:val="Normal"/>
        <w:ind w:firstLine="709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eastAsia="Calibri" w:cs="PT Astra Serif" w:eastAsiaTheme="minorHAnsi"/>
          <w:b/>
          <w:bCs/>
          <w:sz w:val="28"/>
          <w:szCs w:val="28"/>
          <w:lang w:eastAsia="en-US"/>
        </w:rPr>
      </w:pPr>
      <w:r>
        <w:rPr>
          <w:rFonts w:eastAsia="Calibri" w:cs="PT Astra Serif" w:ascii="PT Astra Serif" w:hAnsi="PT Astra Serif" w:eastAsiaTheme="minorHAnsi"/>
          <w:b/>
          <w:bCs/>
          <w:sz w:val="28"/>
          <w:szCs w:val="28"/>
          <w:lang w:eastAsia="en-US"/>
        </w:rPr>
        <w:t xml:space="preserve">Перечень отделочных и строительных материалов, применений которых при ремонте, реставрации, приспособлении для современного использования, при капитальном строительстве зданий и сооружений </w:t>
        <w:br/>
        <w:t>в зонах охраны объектов культурного наследия запрещается:</w:t>
      </w:r>
    </w:p>
    <w:p>
      <w:pPr>
        <w:pStyle w:val="Normal"/>
        <w:jc w:val="both"/>
        <w:rPr>
          <w:rFonts w:ascii="PT Astra Serif" w:hAnsi="PT Astra Serif" w:eastAsia="Calibri" w:cs="PT Astra Serif" w:eastAsiaTheme="minorHAnsi"/>
          <w:b/>
          <w:bCs/>
          <w:sz w:val="28"/>
          <w:szCs w:val="28"/>
          <w:lang w:eastAsia="en-US"/>
        </w:rPr>
      </w:pPr>
      <w:r>
        <w:rPr>
          <w:rFonts w:eastAsia="Calibri" w:cs="PT Astra Serif" w:eastAsiaTheme="minorHAnsi" w:ascii="PT Astra Serif" w:hAnsi="PT Astra Serif"/>
          <w:b/>
          <w:bCs/>
          <w:sz w:val="28"/>
          <w:szCs w:val="28"/>
          <w:lang w:eastAsia="en-US"/>
        </w:rPr>
      </w:r>
    </w:p>
    <w:p>
      <w:pPr>
        <w:pStyle w:val="Normal"/>
        <w:spacing w:lineRule="exact" w:line="240"/>
        <w:ind w:firstLine="540"/>
        <w:jc w:val="both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1. Профилированный металлический лист (профнастил).</w:t>
      </w:r>
    </w:p>
    <w:p>
      <w:pPr>
        <w:pStyle w:val="Normal"/>
        <w:spacing w:lineRule="exact" w:line="240" w:before="280" w:after="0"/>
        <w:ind w:firstLine="540"/>
        <w:jc w:val="both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2. Силикатный кирпич без декоративной отделки.</w:t>
      </w:r>
    </w:p>
    <w:p>
      <w:pPr>
        <w:pStyle w:val="Normal"/>
        <w:spacing w:lineRule="exact" w:line="240" w:before="280" w:after="0"/>
        <w:ind w:firstLine="540"/>
        <w:jc w:val="both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3. Бетонные блоки без декоративной отделки.</w:t>
      </w:r>
    </w:p>
    <w:p>
      <w:pPr>
        <w:pStyle w:val="Normal"/>
        <w:spacing w:lineRule="exact" w:line="240" w:before="280" w:after="0"/>
        <w:ind w:firstLine="540"/>
        <w:jc w:val="both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4. Железобетонные панели и плиты без декоративной отделки.</w:t>
      </w:r>
    </w:p>
    <w:p>
      <w:pPr>
        <w:pStyle w:val="Normal"/>
        <w:spacing w:lineRule="exact" w:line="240" w:before="280" w:after="0"/>
        <w:ind w:firstLine="540"/>
        <w:jc w:val="both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5. Пластиковый сайдинг.</w:t>
      </w:r>
    </w:p>
    <w:p>
      <w:pPr>
        <w:pStyle w:val="Normal"/>
        <w:spacing w:lineRule="exact" w:line="240" w:before="280" w:after="0"/>
        <w:ind w:firstLine="540"/>
        <w:jc w:val="both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6. Металлический сайдинг.</w:t>
      </w:r>
    </w:p>
    <w:p>
      <w:pPr>
        <w:pStyle w:val="Normal"/>
        <w:spacing w:lineRule="exact" w:line="240" w:before="280" w:after="0"/>
        <w:ind w:firstLine="540"/>
        <w:jc w:val="both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7. Деревянная рейка, вагонка, доска без декоративной отделки.</w:t>
      </w:r>
    </w:p>
    <w:p>
      <w:pPr>
        <w:pStyle w:val="Normal"/>
        <w:spacing w:lineRule="exact" w:line="240" w:before="280" w:after="0"/>
        <w:ind w:firstLine="540"/>
        <w:jc w:val="both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8. Сотовый поликарбонат (кроме монолитного).</w:t>
      </w:r>
    </w:p>
    <w:p>
      <w:pPr>
        <w:pStyle w:val="Normal"/>
        <w:spacing w:lineRule="exact" w:line="240" w:before="280" w:after="0"/>
        <w:ind w:firstLine="540"/>
        <w:jc w:val="both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eastAsia="Calibri" w:cs="PT Astra Serif" w:eastAsiaTheme="minorHAnsi" w:ascii="PT Astra Serif" w:hAnsi="PT Astra Serif"/>
          <w:sz w:val="28"/>
          <w:szCs w:val="28"/>
          <w:lang w:eastAsia="en-US"/>
        </w:rPr>
      </w:r>
    </w:p>
    <w:p>
      <w:pPr>
        <w:sectPr>
          <w:headerReference w:type="default" r:id="rId21"/>
          <w:headerReference w:type="first" r:id="rId22"/>
          <w:type w:val="nextPage"/>
          <w:pgSz w:w="11906" w:h="16838"/>
          <w:pgMar w:left="1701" w:right="850" w:gutter="0" w:header="708" w:top="1134" w:footer="0" w:bottom="1134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eastAsia="Calibri" w:cs="PT Astra Serif" w:ascii="PT Astra Serif" w:hAnsi="PT Astra Serif" w:eastAsiaTheme="minorHAnsi"/>
          <w:bCs/>
          <w:sz w:val="28"/>
          <w:szCs w:val="28"/>
          <w:lang w:eastAsia="en-US"/>
        </w:rPr>
        <w:t>__________________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>Приложение № 2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eastAsia="Calibri" w:cs="PT Astra Serif" w:eastAsiaTheme="minorHAnsi" w:ascii="PT Astra Serif" w:hAnsi="PT Astra Serif"/>
          <w:sz w:val="28"/>
          <w:szCs w:val="28"/>
          <w:lang w:eastAsia="en-US"/>
        </w:rPr>
      </w:r>
    </w:p>
    <w:p>
      <w:pPr>
        <w:pStyle w:val="Normal"/>
        <w:jc w:val="right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eastAsia="Calibri" w:cs="PT Astra Serif" w:ascii="PT Astra Serif" w:hAnsi="PT Astra Serif" w:eastAsiaTheme="minorHAnsi"/>
          <w:sz w:val="28"/>
          <w:szCs w:val="28"/>
          <w:lang w:eastAsia="en-US"/>
        </w:rPr>
        <w:t xml:space="preserve">к Требованиям </w:t>
      </w:r>
    </w:p>
    <w:p>
      <w:pPr>
        <w:pStyle w:val="Normal"/>
        <w:jc w:val="both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eastAsia="Calibri" w:cs="PT Astra Serif" w:eastAsiaTheme="minorHAnsi" w:ascii="PT Astra Serif" w:hAnsi="PT Astra Serif"/>
          <w:sz w:val="28"/>
          <w:szCs w:val="28"/>
          <w:lang w:eastAsia="en-US"/>
        </w:rPr>
      </w:r>
    </w:p>
    <w:p>
      <w:pPr>
        <w:pStyle w:val="Normal"/>
        <w:jc w:val="center"/>
        <w:rPr>
          <w:rFonts w:ascii="PT Astra Serif" w:hAnsi="PT Astra Serif" w:eastAsia="Calibri" w:cs="PT Astra Serif" w:eastAsiaTheme="minorHAnsi"/>
          <w:b/>
          <w:bCs/>
          <w:sz w:val="28"/>
          <w:szCs w:val="28"/>
          <w:lang w:eastAsia="en-US"/>
        </w:rPr>
      </w:pPr>
      <w:r>
        <w:rPr>
          <w:rFonts w:eastAsia="Calibri" w:cs="PT Astra Serif" w:ascii="PT Astra Serif" w:hAnsi="PT Astra Serif" w:eastAsiaTheme="minorHAnsi"/>
          <w:b/>
          <w:bCs/>
          <w:sz w:val="28"/>
          <w:szCs w:val="28"/>
          <w:lang w:eastAsia="en-US"/>
        </w:rPr>
        <w:t xml:space="preserve">Перечень цветов отделочных и строительных материалов, применяемых при строительстве, ремонте, реставрации зданий и сооружений и их частей, а также при строительстве временных объектов </w:t>
      </w:r>
    </w:p>
    <w:p>
      <w:pPr>
        <w:pStyle w:val="Normal"/>
        <w:jc w:val="both"/>
        <w:rPr>
          <w:rFonts w:ascii="PT Astra Serif" w:hAnsi="PT Astra Serif" w:eastAsia="Calibri" w:cs="PT Astra Serif" w:eastAsiaTheme="minorHAnsi"/>
          <w:sz w:val="28"/>
          <w:szCs w:val="28"/>
          <w:lang w:eastAsia="en-US"/>
        </w:rPr>
      </w:pPr>
      <w:r>
        <w:rPr>
          <w:rFonts w:eastAsia="Calibri" w:cs="PT Astra Serif" w:eastAsiaTheme="minorHAnsi" w:ascii="PT Astra Serif" w:hAnsi="PT Astra Serif"/>
          <w:sz w:val="28"/>
          <w:szCs w:val="28"/>
          <w:lang w:eastAsia="en-US"/>
        </w:rPr>
      </w:r>
    </w:p>
    <w:tbl>
      <w:tblPr>
        <w:tblStyle w:val="af4"/>
        <w:tblpPr w:vertAnchor="text" w:horzAnchor="margin" w:tblpXSpec="center" w:leftFromText="180" w:rightFromText="180" w:tblpY="159"/>
        <w:tblW w:w="96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33"/>
        <w:gridCol w:w="4252"/>
        <w:gridCol w:w="4721"/>
      </w:tblGrid>
      <w:tr>
        <w:trPr>
          <w:trHeight w:val="375" w:hRule="atLeast"/>
        </w:trPr>
        <w:tc>
          <w:tcPr>
            <w:tcW w:w="960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14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1.Цветовое решение стен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Цвет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Цветовая палитра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3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1.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Белый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RAL 9003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2.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Палевый (бледно-жёлтый с розовым оттенком)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RAL 1015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3.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Жёлто-серый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RAL 1000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4.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Светло-жёлтый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RAL 1018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5.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Охра светлая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RAL 1034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6.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Охра тёмная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RAL 1011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7.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Светло-серый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RAL 7044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8.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Серый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RAL 7045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9.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Дикий (серый к пепельному,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с оттенком голубого; серый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со стальным оттенком; сочетание    светло-серого и бледно-голубого)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RAL 7040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10.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Бледно-розовый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RAL 3015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11.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Коричневый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RAL 8002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12.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Красно-коричневый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RAL 8012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13.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Светло-коричневый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RAL 8023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14.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Сибирка (зелёно-голубой) с   большой примесью белой краски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RAL 6027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15.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Наиболее характерные цвета фасадов различных исторических направлений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По колёрной системе Сaparol «Московская цветовая палитра»</w:t>
            </w:r>
          </w:p>
        </w:tc>
      </w:tr>
      <w:tr>
        <w:trPr>
          <w:trHeight w:val="375" w:hRule="atLeast"/>
        </w:trPr>
        <w:tc>
          <w:tcPr>
            <w:tcW w:w="960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2.Цветовое решение кровли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1.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Медянка (яркая зелёная краска)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en-US" w:bidi="ar-SA"/>
              </w:rPr>
              <w:t xml:space="preserve">RAL </w:t>
            </w: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6000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2.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Медянка, смешанная с белилами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en-US" w:bidi="ar-SA"/>
              </w:rPr>
              <w:t xml:space="preserve">RAL </w:t>
            </w: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6034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3.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Медный лист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Натуральный цвет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4.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Медный лист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Прошедший процесс патинирования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5.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Сурик (красно-оранжевый)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en-US" w:bidi="ar-SA"/>
              </w:rPr>
              <w:t xml:space="preserve">RAL </w:t>
            </w: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2001</w:t>
            </w:r>
          </w:p>
        </w:tc>
      </w:tr>
      <w:tr>
        <w:trPr/>
        <w:tc>
          <w:tcPr>
            <w:tcW w:w="63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6.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Оксид красный</w:t>
            </w:r>
          </w:p>
        </w:tc>
        <w:tc>
          <w:tcPr>
            <w:tcW w:w="472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en-US" w:bidi="ar-SA"/>
              </w:rPr>
              <w:t xml:space="preserve">RAL </w:t>
            </w: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3009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7.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Коричнево-красный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en-US" w:bidi="ar-SA"/>
              </w:rPr>
              <w:t xml:space="preserve">RAL </w:t>
            </w: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3011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3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8.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Светло-серый (сигнальный серый)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RAL 7004</w:t>
            </w:r>
          </w:p>
        </w:tc>
      </w:tr>
      <w:tr>
        <w:trPr/>
        <w:tc>
          <w:tcPr>
            <w:tcW w:w="6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9.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Тёмно-серый (бело-алюминиевый)</w:t>
            </w:r>
          </w:p>
        </w:tc>
        <w:tc>
          <w:tcPr>
            <w:tcW w:w="47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kern w:val="0"/>
                <w:sz w:val="28"/>
                <w:szCs w:val="28"/>
                <w:lang w:val="ru-RU" w:bidi="ar-SA"/>
              </w:rPr>
              <w:t>RAL 9006</w:t>
            </w:r>
          </w:p>
        </w:tc>
      </w:tr>
    </w:tbl>
    <w:p>
      <w:pPr>
        <w:pStyle w:val="Normal"/>
        <w:tabs>
          <w:tab w:val="clear" w:pos="708"/>
          <w:tab w:val="left" w:pos="709" w:leader="none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_________________</w:t>
      </w:r>
    </w:p>
    <w:sectPr>
      <w:headerReference w:type="default" r:id="rId23"/>
      <w:headerReference w:type="first" r:id="rId24"/>
      <w:type w:val="nextPage"/>
      <w:pgSz w:w="11906" w:h="16838"/>
      <w:pgMar w:left="1701" w:right="850" w:gutter="0" w:header="708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3913820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7810359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7446769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6228850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38031157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48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f74874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f74874"/>
    <w:rPr/>
  </w:style>
  <w:style w:type="character" w:styleId="Style15" w:customStyle="1">
    <w:name w:val="Нижний колонтитул Знак"/>
    <w:basedOn w:val="DefaultParagraphFont"/>
    <w:qFormat/>
    <w:rsid w:val="00f7487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rsid w:val="00f74874"/>
    <w:rPr>
      <w:color w:val="0000FF"/>
      <w:u w:val="single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86112"/>
    <w:rPr>
      <w:rFonts w:ascii="Tahoma" w:hAnsi="Tahoma" w:eastAsia="Times New Roman" w:cs="Tahoma"/>
      <w:sz w:val="16"/>
      <w:szCs w:val="16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f74874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ConsPlusNormal" w:customStyle="1">
    <w:name w:val="ConsPlusNormal"/>
    <w:qFormat/>
    <w:rsid w:val="00f74874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Footer">
    <w:name w:val="footer"/>
    <w:basedOn w:val="Normal"/>
    <w:link w:val="Style15"/>
    <w:rsid w:val="00f7487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" w:customStyle="1">
    <w:name w:val="Абзац списка2"/>
    <w:basedOn w:val="Normal"/>
    <w:uiPriority w:val="34"/>
    <w:qFormat/>
    <w:rsid w:val="00f74874"/>
    <w:pPr>
      <w:ind w:firstLine="567" w:left="567" w:right="281"/>
      <w:jc w:val="both"/>
    </w:pPr>
    <w:rPr>
      <w:sz w:val="28"/>
      <w:szCs w:val="28"/>
    </w:rPr>
  </w:style>
  <w:style w:type="paragraph" w:styleId="ConsPlusTitle" w:customStyle="1">
    <w:name w:val="ConsPlusTitle"/>
    <w:qFormat/>
    <w:rsid w:val="00f748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8611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63e4"/>
    <w:pPr>
      <w:spacing w:before="0" w:after="0"/>
      <w:ind w:left="720"/>
      <w:contextualSpacing/>
    </w:pPr>
    <w:rPr/>
  </w:style>
  <w:style w:type="paragraph" w:styleId="Style19" w:customStyle="1">
    <w:name w:val="Верхний колонтитул слева"/>
    <w:basedOn w:val="Header"/>
    <w:qFormat/>
    <w:pPr/>
    <w:rPr/>
  </w:style>
  <w:style w:type="paragraph" w:styleId="Style20" w:customStyle="1">
    <w:name w:val="Содержимое врезки"/>
    <w:basedOn w:val="Normal"/>
    <w:qFormat/>
    <w:pPr/>
    <w:rPr/>
  </w:style>
  <w:style w:type="numbering" w:styleId="Style21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1b11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925C40B07BAD91E6D50D25A0B763B99AC667BE906DD6894A109FE81124814EE2B6119519727062B131880AEDF874664C92D7AA887r3bCF" TargetMode="External"/><Relationship Id="rId3" Type="http://schemas.openxmlformats.org/officeDocument/2006/relationships/hyperlink" Target="consultantplus://offline/ref=3925C40B07BAD91E6D50CC571D1A6593A96F2CE707DD66C3F556A5DC45411EB96C2E4013D62D0C7F425DD3A7D6D709209F3E7AAC9B3C39B43FEF9Br1b8F" TargetMode="External"/><Relationship Id="rId4" Type="http://schemas.openxmlformats.org/officeDocument/2006/relationships/hyperlink" Target="consultantplus://offline/ref=A7F750C231C1E20D328CCFD9AF55B369583BD1806737912D4D17BD44ADF764B54B7CD3C0A42834BD00A4965FACF74B6C095B91B2C484E9A25CEFD5QFA8G" TargetMode="External"/><Relationship Id="rId5" Type="http://schemas.openxmlformats.org/officeDocument/2006/relationships/hyperlink" Target="consultantplus://offline/ref=A7F750C231C1E20D328CCFD9AF55B369583BD1806737912D4D17BD44ADF764B54B7CD3C0A42834BD00A7965CACF74B6C095B91B2C484E9A25CEFD5QFA8G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Relationship Id="rId14" Type="http://schemas.openxmlformats.org/officeDocument/2006/relationships/image" Target="media/image1.png"/><Relationship Id="rId15" Type="http://schemas.openxmlformats.org/officeDocument/2006/relationships/image" Target="media/image1.png"/><Relationship Id="rId16" Type="http://schemas.openxmlformats.org/officeDocument/2006/relationships/image" Target="media/image1.png"/><Relationship Id="rId17" Type="http://schemas.openxmlformats.org/officeDocument/2006/relationships/header" Target="header4.xml"/><Relationship Id="rId18" Type="http://schemas.openxmlformats.org/officeDocument/2006/relationships/header" Target="header5.xml"/><Relationship Id="rId19" Type="http://schemas.openxmlformats.org/officeDocument/2006/relationships/header" Target="header6.xml"/><Relationship Id="rId20" Type="http://schemas.openxmlformats.org/officeDocument/2006/relationships/header" Target="header7.xml"/><Relationship Id="rId21" Type="http://schemas.openxmlformats.org/officeDocument/2006/relationships/header" Target="header8.xml"/><Relationship Id="rId22" Type="http://schemas.openxmlformats.org/officeDocument/2006/relationships/header" Target="header9.xml"/><Relationship Id="rId23" Type="http://schemas.openxmlformats.org/officeDocument/2006/relationships/header" Target="header10.xml"/><Relationship Id="rId24" Type="http://schemas.openxmlformats.org/officeDocument/2006/relationships/header" Target="header11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<Relationship Id="rId2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4EE28-C918-43E1-A030-76DEEF45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LibreOffice/24.8.4.2$Linux_X86_64 LibreOffice_project/480$Build-2</Application>
  <AppVersion>15.0000</AppVersion>
  <Pages>12</Pages>
  <Words>1124</Words>
  <Characters>8048</Characters>
  <CharactersWithSpaces>9098</CharactersWithSpaces>
  <Paragraphs>277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2025-03-26T06:38:00Z</dcterms:created>
  <dc:creator>Словцова Анжела Олеговна</dc:creator>
  <dc:description/>
  <dc:language>ru-RU</dc:language>
  <cp:lastModifiedBy/>
  <cp:lastPrinted>2025-08-05T11:55:38Z</cp:lastPrinted>
  <dcterms:modified xsi:type="dcterms:W3CDTF">2025-08-05T12:09:52Z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