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9607CC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B5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ОТЧЁТ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3A77D4" w:rsidRDefault="00D71395" w:rsidP="0092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Святова Е.А.</w:t>
      </w:r>
    </w:p>
    <w:p w:rsidR="003A77D4" w:rsidRPr="0080313C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0324FA" w:rsidRPr="000324FA" w:rsidRDefault="00D71395" w:rsidP="000324F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0324FA" w:rsidRPr="000324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24.03.2016 </w:t>
      </w:r>
    </w:p>
    <w:p w:rsidR="003A77D4" w:rsidRPr="0080313C" w:rsidRDefault="000324FA" w:rsidP="000324F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24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119-П» </w:t>
      </w:r>
      <w:r w:rsidR="00790EC6" w:rsidRP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94F81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664D3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D71395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далее – проект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71395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proofErr w:type="gramEnd"/>
      <w:r w:rsidR="00D71395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71395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13C" w:rsidRPr="00095A08" w:rsidRDefault="0080313C" w:rsidP="0080313C">
      <w:pPr>
        <w:pStyle w:val="11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24FA" w:rsidRPr="000324FA">
        <w:rPr>
          <w:sz w:val="28"/>
          <w:szCs w:val="28"/>
        </w:rPr>
        <w:t xml:space="preserve">проект постановления </w:t>
      </w:r>
      <w:r w:rsidRPr="00095A08">
        <w:rPr>
          <w:sz w:val="28"/>
          <w:szCs w:val="28"/>
        </w:rPr>
        <w:t xml:space="preserve">вступает в силу </w:t>
      </w:r>
      <w:r w:rsidR="00790EC6">
        <w:rPr>
          <w:sz w:val="28"/>
          <w:szCs w:val="28"/>
        </w:rPr>
        <w:t xml:space="preserve">с 1 </w:t>
      </w:r>
      <w:r w:rsidR="000324FA">
        <w:rPr>
          <w:sz w:val="28"/>
          <w:szCs w:val="28"/>
        </w:rPr>
        <w:t>сентября</w:t>
      </w:r>
      <w:r w:rsidR="00790EC6">
        <w:rPr>
          <w:sz w:val="28"/>
          <w:szCs w:val="28"/>
        </w:rPr>
        <w:t xml:space="preserve"> 202</w:t>
      </w:r>
      <w:r w:rsidR="006608FF">
        <w:rPr>
          <w:sz w:val="28"/>
          <w:szCs w:val="28"/>
        </w:rPr>
        <w:t>5</w:t>
      </w:r>
      <w:r w:rsidRPr="00095A08">
        <w:rPr>
          <w:sz w:val="28"/>
          <w:szCs w:val="28"/>
        </w:rPr>
        <w:t>.</w:t>
      </w:r>
    </w:p>
    <w:p w:rsidR="0042061C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A15CD"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0324FA" w:rsidRDefault="003A7E81" w:rsidP="00032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E81">
        <w:rPr>
          <w:rFonts w:ascii="PT Astra Serif" w:hAnsi="PT Astra Serif"/>
          <w:sz w:val="28"/>
          <w:szCs w:val="28"/>
          <w:shd w:val="clear" w:color="auto" w:fill="FFFFFF"/>
        </w:rPr>
        <w:t xml:space="preserve">Проект </w:t>
      </w:r>
      <w:r w:rsidR="000324FA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постановления 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разработан </w:t>
      </w:r>
      <w:r w:rsidR="000324FA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324FA" w:rsidRPr="000324FA">
        <w:rPr>
          <w:rFonts w:ascii="PT Astra Serif" w:hAnsi="PT Astra Serif"/>
          <w:sz w:val="28"/>
          <w:szCs w:val="28"/>
          <w:shd w:val="clear" w:color="auto" w:fill="FFFFFF"/>
        </w:rPr>
        <w:t xml:space="preserve">целях </w:t>
      </w:r>
      <w:proofErr w:type="gramStart"/>
      <w:r w:rsidR="000324FA" w:rsidRPr="000324FA">
        <w:rPr>
          <w:rFonts w:ascii="PT Astra Serif" w:hAnsi="PT Astra Serif"/>
          <w:sz w:val="28"/>
          <w:szCs w:val="28"/>
          <w:shd w:val="clear" w:color="auto" w:fill="FFFFFF"/>
        </w:rPr>
        <w:t>дополнения перечня случаев оказания адресной материальной помощи</w:t>
      </w:r>
      <w:proofErr w:type="gramEnd"/>
      <w:r w:rsidR="000324FA" w:rsidRPr="000324FA">
        <w:rPr>
          <w:rFonts w:ascii="PT Astra Serif" w:hAnsi="PT Astra Serif"/>
          <w:sz w:val="28"/>
          <w:szCs w:val="28"/>
          <w:shd w:val="clear" w:color="auto" w:fill="FFFFFF"/>
        </w:rPr>
        <w:t xml:space="preserve"> участникам специальной военной операции в связи с поступающими обращениями по вопросу зубного </w:t>
      </w:r>
      <w:proofErr w:type="gramStart"/>
      <w:r w:rsidR="000324FA" w:rsidRPr="000324FA">
        <w:rPr>
          <w:rFonts w:ascii="PT Astra Serif" w:hAnsi="PT Astra Serif"/>
          <w:sz w:val="28"/>
          <w:szCs w:val="28"/>
          <w:shd w:val="clear" w:color="auto" w:fill="FFFFFF"/>
        </w:rPr>
        <w:t>протезирования и предусматривает внесение изменений в Положение о порядке назначения и осуществления единовременной денежной выплаты, предоставляемой в качестве адресной материальной помощи проживающим или пребывающим на территории Ульяновской области семьям граждан Российской Федерации или одиноким гражданам Российской Федерации, находящимся по независящим от них причинам в трудной жизненной ситуации, в це</w:t>
      </w:r>
      <w:r w:rsidR="00845278">
        <w:rPr>
          <w:rFonts w:ascii="PT Astra Serif" w:hAnsi="PT Astra Serif"/>
          <w:sz w:val="28"/>
          <w:szCs w:val="28"/>
          <w:shd w:val="clear" w:color="auto" w:fill="FFFFFF"/>
        </w:rPr>
        <w:t>лях преодоления такой ситуации.</w:t>
      </w:r>
      <w:proofErr w:type="gramEnd"/>
    </w:p>
    <w:p w:rsidR="0042061C" w:rsidRPr="003A77D4" w:rsidRDefault="00D71395" w:rsidP="00032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="0042061C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13C" w:rsidRPr="0080313C" w:rsidRDefault="000324FA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Предоставление адресной материальной помощи в связи с оплатой</w:t>
      </w:r>
      <w:r w:rsidRPr="000324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медицинских услуг по зубному протезированию гражданами, являющимися участниками специальной военной операции и признанные таковыми в соответствии с указом Губернатора Ульяновской области от 17.08.2022 № 100 «О некоторых мерах поддержки граждан, являющихся членами семей участников специальной военной операции», по медицинским показаниям нуждающихся в зубном протезировании</w:t>
      </w:r>
      <w:r w:rsidR="0080313C" w:rsidRPr="0080313C">
        <w:rPr>
          <w:rFonts w:ascii="PT Astra Serif" w:eastAsia="Calibri" w:hAnsi="PT Astra Serif" w:cs="TimesNewRomanPSMT"/>
          <w:sz w:val="28"/>
          <w:szCs w:val="28"/>
        </w:rPr>
        <w:t>.</w:t>
      </w:r>
      <w:proofErr w:type="gramEnd"/>
    </w:p>
    <w:p w:rsid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CB754C" w:rsidRDefault="00CB754C" w:rsidP="006608FF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CB754C">
        <w:rPr>
          <w:rFonts w:ascii="PT Astra Serif" w:eastAsia="Arial" w:hAnsi="PT Astra Serif"/>
          <w:sz w:val="28"/>
          <w:szCs w:val="28"/>
          <w:lang w:eastAsia="ru-RU"/>
        </w:rPr>
        <w:t>дополнени</w:t>
      </w:r>
      <w:r>
        <w:rPr>
          <w:rFonts w:ascii="PT Astra Serif" w:eastAsia="Arial" w:hAnsi="PT Astra Serif"/>
          <w:sz w:val="28"/>
          <w:szCs w:val="28"/>
          <w:lang w:eastAsia="ru-RU"/>
        </w:rPr>
        <w:t>е</w:t>
      </w:r>
      <w:r w:rsidRPr="00CB754C">
        <w:rPr>
          <w:rFonts w:ascii="PT Astra Serif" w:eastAsia="Arial" w:hAnsi="PT Astra Serif"/>
          <w:sz w:val="28"/>
          <w:szCs w:val="28"/>
          <w:lang w:eastAsia="ru-RU"/>
        </w:rPr>
        <w:t xml:space="preserve"> перечня случаев оказания адресной материальной помощи участникам специальной военной операции в связи с зубн</w:t>
      </w:r>
      <w:r>
        <w:rPr>
          <w:rFonts w:ascii="PT Astra Serif" w:eastAsia="Arial" w:hAnsi="PT Astra Serif"/>
          <w:sz w:val="28"/>
          <w:szCs w:val="28"/>
          <w:lang w:eastAsia="ru-RU"/>
        </w:rPr>
        <w:t>ым</w:t>
      </w:r>
      <w:r w:rsidRPr="00CB754C">
        <w:rPr>
          <w:rFonts w:ascii="PT Astra Serif" w:eastAsia="Arial" w:hAnsi="PT Astra Serif"/>
          <w:sz w:val="28"/>
          <w:szCs w:val="28"/>
          <w:lang w:eastAsia="ru-RU"/>
        </w:rPr>
        <w:t xml:space="preserve"> протезировани</w:t>
      </w:r>
      <w:r>
        <w:rPr>
          <w:rFonts w:ascii="PT Astra Serif" w:eastAsia="Arial" w:hAnsi="PT Astra Serif"/>
          <w:sz w:val="28"/>
          <w:szCs w:val="28"/>
          <w:lang w:eastAsia="ru-RU"/>
        </w:rPr>
        <w:t>ем;</w:t>
      </w:r>
    </w:p>
    <w:p w:rsidR="00CB754C" w:rsidRDefault="008252C9" w:rsidP="008252C9">
      <w:pPr>
        <w:spacing w:after="0" w:line="240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gramStart"/>
      <w:r w:rsidRPr="008252C9">
        <w:rPr>
          <w:rFonts w:ascii="PT Astra Serif" w:eastAsia="Arial" w:hAnsi="PT Astra Serif"/>
          <w:sz w:val="28"/>
          <w:szCs w:val="28"/>
          <w:lang w:eastAsia="ru-RU"/>
        </w:rPr>
        <w:t xml:space="preserve">Вместе с тем, проектом постановления предусматривается, что оказание адресной материальной помощи, в связи с произведёнными расходами на </w:t>
      </w:r>
      <w:r>
        <w:rPr>
          <w:rFonts w:ascii="PT Astra Serif" w:eastAsia="Arial" w:hAnsi="PT Astra Serif"/>
          <w:sz w:val="28"/>
          <w:szCs w:val="28"/>
          <w:lang w:eastAsia="ru-RU"/>
        </w:rPr>
        <w:t>зубное протезирование</w:t>
      </w:r>
      <w:r w:rsidRPr="008252C9">
        <w:rPr>
          <w:rFonts w:ascii="PT Astra Serif" w:eastAsia="Arial" w:hAnsi="PT Astra Serif"/>
          <w:sz w:val="28"/>
          <w:szCs w:val="28"/>
          <w:lang w:eastAsia="ru-RU"/>
        </w:rPr>
        <w:t>, не лишает гражданина возможности получить адресную материальную помощь по иным основаниям в связи с наступлением трудной жизненной ситуации</w:t>
      </w:r>
      <w:r w:rsidR="00AC3DCC">
        <w:rPr>
          <w:rFonts w:ascii="PT Astra Serif" w:eastAsia="Arial" w:hAnsi="PT Astra Serif"/>
          <w:sz w:val="28"/>
          <w:szCs w:val="28"/>
          <w:lang w:eastAsia="ru-RU"/>
        </w:rPr>
        <w:t>, однако участник специальной военной операции может получить адресную материальную помощь в связи с зубным протезированием однократно</w:t>
      </w:r>
      <w:r w:rsidRPr="008252C9">
        <w:rPr>
          <w:rFonts w:ascii="PT Astra Serif" w:eastAsia="Arial" w:hAnsi="PT Astra Serif"/>
          <w:sz w:val="28"/>
          <w:szCs w:val="28"/>
          <w:lang w:eastAsia="ru-RU"/>
        </w:rPr>
        <w:t>.</w:t>
      </w:r>
      <w:proofErr w:type="gramEnd"/>
    </w:p>
    <w:p w:rsidR="00424C7D" w:rsidRPr="00424C7D" w:rsidRDefault="00424C7D" w:rsidP="00660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B3611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ачало: «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4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8452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</w:t>
      </w:r>
      <w:r w:rsid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4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452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учтено частично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Святова Елена Александровна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</w:p>
    <w:p w:rsidR="00790EC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44-96-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84- доб. 9665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7A2" w:rsidRPr="00683CB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790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svyatovaea</w:t>
      </w:r>
      <w:proofErr w:type="spellEnd"/>
      <w:r w:rsidR="00790EC6" w:rsidRP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660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6608FF" w:rsidRPr="00660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0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547A2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683CB2" w:rsidRDefault="00CE3951" w:rsidP="00CE3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данный момент не определён механизм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протезирования участникам специальной военной операции (вне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наличия у участника специальной военной операции инвалидности)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Территориальной программе государственных гарантий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 оказания гражданам медицинской помощи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 на 2025 год и на плановый период 2026-2027 годов,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 постановлением Правительства Ульяновской области от</w:t>
      </w:r>
      <w:proofErr w:type="gramEnd"/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31.01.2025 № 51-П, за счёт бюджетных ассигнований областного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Default="006608FF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4C3161" w:rsidRPr="001F7962" w:rsidRDefault="004C3161" w:rsidP="0066174F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Default="004C3161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525F" w:rsidRDefault="005C525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F7962" w:rsidRDefault="00937A33" w:rsidP="001F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9BF" w:rsidRDefault="007869BF" w:rsidP="00E0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951" w:rsidRDefault="00E07C61" w:rsidP="009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6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</w:t>
      </w: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проекта нормативного правового акта</w:t>
      </w:r>
      <w:r w:rsidR="0093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49A" w:rsidRDefault="00CE3951" w:rsidP="00CE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гарантий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 оказания гражданам медицинской помощи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 на 2025 год и на плановый период 2026-2027 годов,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утверждённой постановлением Правительства Ульяновской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31.01.2025 № 51-П</w:t>
      </w:r>
    </w:p>
    <w:p w:rsidR="00555184" w:rsidRDefault="00555184" w:rsidP="00CE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184" w:rsidRPr="00555184" w:rsidRDefault="00555184" w:rsidP="00555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Ульяновской области готово передать на реализацию указанных функций финансовое обеспечение в размере 3,5 млн.</w:t>
      </w:r>
    </w:p>
    <w:p w:rsidR="00555184" w:rsidRDefault="00555184" w:rsidP="00555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из расчёта средней стоимости медицинских услуг по зубному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протезированию на основе фактических данных, предоставленных </w:t>
      </w:r>
      <w:proofErr w:type="spellStart"/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proofErr w:type="gramStart"/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томатологическая</w:t>
      </w:r>
      <w:proofErr w:type="spellEnd"/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поликлиника города Ульяновска» за 2024 год – 35 тыс. руб. и запланированного количества участников специальной военной операции –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1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555184" w:rsidRDefault="00555184" w:rsidP="00CE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39DE" w:rsidTr="00BF39DE">
        <w:tc>
          <w:tcPr>
            <w:tcW w:w="3284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39DE" w:rsidTr="00BF39DE">
        <w:tc>
          <w:tcPr>
            <w:tcW w:w="3284" w:type="dxa"/>
          </w:tcPr>
          <w:p w:rsidR="00BF39DE" w:rsidRDefault="00937A33" w:rsidP="00D2016F">
            <w:pPr>
              <w:rPr>
                <w:b/>
                <w:sz w:val="28"/>
                <w:szCs w:val="28"/>
              </w:rPr>
            </w:pPr>
            <w:r w:rsidRPr="00937A33">
              <w:rPr>
                <w:sz w:val="24"/>
                <w:szCs w:val="24"/>
              </w:rPr>
              <w:t xml:space="preserve">предоставление единовременной выплаты в размере </w:t>
            </w:r>
            <w:r w:rsidR="00CE3951">
              <w:rPr>
                <w:sz w:val="24"/>
                <w:szCs w:val="24"/>
              </w:rPr>
              <w:t>35</w:t>
            </w:r>
            <w:r w:rsidRPr="00937A33">
              <w:rPr>
                <w:sz w:val="24"/>
                <w:szCs w:val="24"/>
              </w:rPr>
              <w:t xml:space="preserve"> тысяч рублей </w:t>
            </w:r>
          </w:p>
        </w:tc>
        <w:tc>
          <w:tcPr>
            <w:tcW w:w="3285" w:type="dxa"/>
          </w:tcPr>
          <w:p w:rsidR="00BF39DE" w:rsidRDefault="007869BF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202</w:t>
            </w:r>
            <w:r w:rsidR="00937A33">
              <w:rPr>
                <w:bCs/>
                <w:kern w:val="32"/>
                <w:sz w:val="24"/>
                <w:szCs w:val="24"/>
              </w:rPr>
              <w:t xml:space="preserve">5 – </w:t>
            </w:r>
            <w:r w:rsidR="00CE3951">
              <w:rPr>
                <w:bCs/>
                <w:kern w:val="32"/>
                <w:sz w:val="24"/>
                <w:szCs w:val="24"/>
              </w:rPr>
              <w:t>100</w:t>
            </w:r>
            <w:r w:rsidR="00937A33">
              <w:rPr>
                <w:bCs/>
                <w:kern w:val="32"/>
                <w:sz w:val="24"/>
                <w:szCs w:val="24"/>
              </w:rPr>
              <w:t xml:space="preserve"> </w:t>
            </w:r>
            <w:r w:rsidR="00CE3951" w:rsidRPr="00CE3951">
              <w:rPr>
                <w:bCs/>
                <w:kern w:val="32"/>
                <w:sz w:val="24"/>
                <w:szCs w:val="24"/>
              </w:rPr>
              <w:t>участник</w:t>
            </w:r>
            <w:r w:rsidR="00CE3951">
              <w:rPr>
                <w:bCs/>
                <w:kern w:val="32"/>
                <w:sz w:val="24"/>
                <w:szCs w:val="24"/>
              </w:rPr>
              <w:t>ов</w:t>
            </w:r>
            <w:r w:rsidR="00CE3951" w:rsidRPr="00CE3951">
              <w:rPr>
                <w:bCs/>
                <w:kern w:val="32"/>
                <w:sz w:val="24"/>
                <w:szCs w:val="24"/>
              </w:rPr>
              <w:t xml:space="preserve"> специальной военной операции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2026 – </w:t>
            </w:r>
            <w:r w:rsidR="00CE3951">
              <w:rPr>
                <w:bCs/>
                <w:kern w:val="32"/>
                <w:sz w:val="24"/>
                <w:szCs w:val="24"/>
              </w:rPr>
              <w:t xml:space="preserve">100 </w:t>
            </w:r>
            <w:r w:rsidR="00CE3951" w:rsidRPr="00CE3951">
              <w:rPr>
                <w:bCs/>
                <w:kern w:val="32"/>
                <w:sz w:val="24"/>
                <w:szCs w:val="24"/>
              </w:rPr>
              <w:t>участников специальной военной операции</w:t>
            </w:r>
          </w:p>
          <w:p w:rsidR="00937A33" w:rsidRDefault="00937A33" w:rsidP="00937A33">
            <w:pPr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2027 – </w:t>
            </w:r>
            <w:r w:rsidR="00CE3951">
              <w:rPr>
                <w:bCs/>
                <w:kern w:val="32"/>
                <w:sz w:val="24"/>
                <w:szCs w:val="24"/>
              </w:rPr>
              <w:t xml:space="preserve">100 </w:t>
            </w:r>
            <w:r w:rsidR="00CE3951" w:rsidRPr="00CE3951">
              <w:rPr>
                <w:bCs/>
                <w:kern w:val="32"/>
                <w:sz w:val="24"/>
                <w:szCs w:val="24"/>
              </w:rPr>
              <w:t>участников специальной военной операции</w:t>
            </w:r>
          </w:p>
          <w:p w:rsidR="00937A33" w:rsidRDefault="00937A33" w:rsidP="00937A33">
            <w:pPr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F39DE" w:rsidRDefault="00555184" w:rsidP="00937A33">
            <w:pPr>
              <w:rPr>
                <w:b/>
                <w:sz w:val="28"/>
                <w:szCs w:val="28"/>
              </w:rPr>
            </w:pPr>
            <w:r>
              <w:rPr>
                <w:bCs/>
                <w:kern w:val="32"/>
                <w:sz w:val="24"/>
                <w:szCs w:val="24"/>
              </w:rPr>
              <w:t>однократно</w:t>
            </w:r>
          </w:p>
        </w:tc>
      </w:tr>
    </w:tbl>
    <w:p w:rsidR="00BF39DE" w:rsidRDefault="00BF39DE" w:rsidP="00BF3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E07C61" w:rsidRDefault="00E07C61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8D30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9D7675" w:rsidRDefault="00C922DB" w:rsidP="00C922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Pr="00C922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принятия </w:t>
      </w:r>
      <w:r w:rsidR="00937A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акта</w:t>
      </w:r>
      <w:r w:rsidRPr="00C922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5518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участники специальной военной операции</w:t>
      </w:r>
      <w:r w:rsidR="00937A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смогут </w:t>
      </w:r>
      <w:r w:rsidR="0055518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реализовать своё право на бесплатное зубное протезирование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922DB" w:rsidRDefault="009D7675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</w:t>
      </w:r>
      <w:r w:rsidR="0003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proofErr w:type="spellStart"/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каким образом каждым из способов могла бы быть решена проблема, и количественных показателей):</w:t>
      </w:r>
    </w:p>
    <w:p w:rsidR="008D30BA" w:rsidRDefault="008D30BA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 отсутствуют.</w:t>
      </w:r>
    </w:p>
    <w:p w:rsidR="009D7675" w:rsidRPr="009D7675" w:rsidRDefault="00C922DB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7675"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C922DB" w:rsidRDefault="008D30BA" w:rsidP="00C9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339F" w:rsidRPr="00C922DB" w:rsidRDefault="00FA339F" w:rsidP="00C9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55" w:rsidRDefault="00D40855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8D30BA" w:rsidRDefault="00FA339F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A33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Правовое регулирование </w:t>
      </w:r>
      <w:r w:rsidR="000324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 w:rsidR="00D2016F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</w:t>
      </w:r>
      <w:r w:rsidRPr="00FA33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 будет распространено на отдельные категории граждан, а именно, </w:t>
      </w:r>
      <w:r w:rsidR="00D2016F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специальной военной операции</w:t>
      </w:r>
      <w:r w:rsidRPr="00FA33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150CA" w:rsidRPr="004150CA" w:rsidTr="00D75624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D75624">
        <w:tc>
          <w:tcPr>
            <w:tcW w:w="4503" w:type="dxa"/>
          </w:tcPr>
          <w:p w:rsidR="00C922DB" w:rsidRPr="003D780E" w:rsidRDefault="00D2016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участники специальной военной операции</w:t>
            </w:r>
          </w:p>
        </w:tc>
        <w:tc>
          <w:tcPr>
            <w:tcW w:w="5386" w:type="dxa"/>
          </w:tcPr>
          <w:p w:rsidR="003D780E" w:rsidRPr="004150CA" w:rsidRDefault="00D2016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8000</w:t>
            </w:r>
          </w:p>
        </w:tc>
      </w:tr>
      <w:tr w:rsidR="00672704" w:rsidRPr="004150CA" w:rsidTr="00D75624">
        <w:tc>
          <w:tcPr>
            <w:tcW w:w="4503" w:type="dxa"/>
          </w:tcPr>
          <w:p w:rsidR="00672704" w:rsidRPr="00672704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672704" w:rsidRPr="00B9228F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4428"/>
        <w:gridCol w:w="2773"/>
      </w:tblGrid>
      <w:tr w:rsidR="005C3053" w:rsidRPr="005C3053" w:rsidTr="00D75624">
        <w:tc>
          <w:tcPr>
            <w:tcW w:w="2688" w:type="dxa"/>
          </w:tcPr>
          <w:p w:rsidR="005C3053" w:rsidRPr="00D7562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7.1. Наименование новой, изменяемой или отменяемой функции</w:t>
            </w:r>
          </w:p>
        </w:tc>
        <w:tc>
          <w:tcPr>
            <w:tcW w:w="4428" w:type="dxa"/>
          </w:tcPr>
          <w:p w:rsidR="005C3053" w:rsidRPr="00D75624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D7562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D75624">
        <w:tc>
          <w:tcPr>
            <w:tcW w:w="9889" w:type="dxa"/>
            <w:gridSpan w:val="3"/>
          </w:tcPr>
          <w:p w:rsidR="005C3053" w:rsidRPr="002C7EE9" w:rsidRDefault="003D780E" w:rsidP="002D0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</w:t>
            </w:r>
            <w:r w:rsidR="002D0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 уполномоченный в сфере социальной защиты населения</w:t>
            </w:r>
          </w:p>
        </w:tc>
      </w:tr>
      <w:tr w:rsidR="00836FAD" w:rsidRPr="005C3053" w:rsidTr="00D75624">
        <w:trPr>
          <w:trHeight w:val="956"/>
        </w:trPr>
        <w:tc>
          <w:tcPr>
            <w:tcW w:w="2688" w:type="dxa"/>
          </w:tcPr>
          <w:p w:rsidR="00836FAD" w:rsidRPr="003D780E" w:rsidRDefault="002D051D" w:rsidP="00F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</w:t>
            </w:r>
            <w:r w:rsidRPr="002D0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 социальной поддержки </w:t>
            </w:r>
          </w:p>
        </w:tc>
        <w:tc>
          <w:tcPr>
            <w:tcW w:w="4428" w:type="dxa"/>
          </w:tcPr>
          <w:p w:rsidR="00D2016F" w:rsidRPr="00D2016F" w:rsidRDefault="00D2016F" w:rsidP="00D2016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D2016F">
              <w:rPr>
                <w:rFonts w:ascii="PT Astra Serif" w:hAnsi="PT Astra Serif"/>
                <w:bCs/>
              </w:rPr>
              <w:t>Предоставление адресной материальной помощи в связи с оплатой медицинских услуг по зубному протезированию гражданами, являющимися участниками специальной военной операции по медицинским показаниям нуждающихся в зубном протезировании</w:t>
            </w:r>
          </w:p>
          <w:p w:rsidR="00836FAD" w:rsidRPr="00AE4809" w:rsidRDefault="00836FAD" w:rsidP="00D2016F">
            <w:pPr>
              <w:pStyle w:val="ad"/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:rsidR="00D2016F" w:rsidRPr="00D2016F" w:rsidRDefault="00D2016F" w:rsidP="00D2016F">
            <w:pPr>
              <w:jc w:val="center"/>
              <w:rPr>
                <w:rFonts w:ascii="PT Astra Serif" w:hAnsi="PT Astra Serif"/>
                <w:bCs/>
              </w:rPr>
            </w:pPr>
            <w:r w:rsidRPr="00D2016F">
              <w:rPr>
                <w:rFonts w:ascii="PT Astra Serif" w:hAnsi="PT Astra Serif"/>
                <w:bCs/>
              </w:rPr>
              <w:t>Министерство здравоохранения Ульяновской области готово передать на реализацию указанных функций финансовое обеспечение в размере 3,5 млн.</w:t>
            </w:r>
          </w:p>
          <w:p w:rsidR="00D2016F" w:rsidRDefault="00D2016F" w:rsidP="00D2016F">
            <w:pPr>
              <w:jc w:val="center"/>
              <w:rPr>
                <w:rFonts w:ascii="PT Astra Serif" w:hAnsi="PT Astra Serif"/>
                <w:bCs/>
              </w:rPr>
            </w:pPr>
            <w:r w:rsidRPr="00D2016F">
              <w:rPr>
                <w:rFonts w:ascii="PT Astra Serif" w:hAnsi="PT Astra Serif"/>
                <w:bCs/>
              </w:rPr>
              <w:t xml:space="preserve">руб. из расчёта средней стоимости медицинских услуг по зубному протезированию на основе фактических данных, предоставленных </w:t>
            </w:r>
            <w:proofErr w:type="spellStart"/>
            <w:r w:rsidRPr="00D2016F">
              <w:rPr>
                <w:rFonts w:ascii="PT Astra Serif" w:hAnsi="PT Astra Serif"/>
                <w:bCs/>
              </w:rPr>
              <w:t>ГБУЗ</w:t>
            </w:r>
            <w:proofErr w:type="gramStart"/>
            <w:r w:rsidRPr="00D2016F">
              <w:rPr>
                <w:rFonts w:ascii="PT Astra Serif" w:hAnsi="PT Astra Serif"/>
                <w:bCs/>
              </w:rPr>
              <w:t>«С</w:t>
            </w:r>
            <w:proofErr w:type="gramEnd"/>
            <w:r w:rsidRPr="00D2016F">
              <w:rPr>
                <w:rFonts w:ascii="PT Astra Serif" w:hAnsi="PT Astra Serif"/>
                <w:bCs/>
              </w:rPr>
              <w:t>томатологическая</w:t>
            </w:r>
            <w:proofErr w:type="spellEnd"/>
            <w:r w:rsidRPr="00D2016F">
              <w:rPr>
                <w:rFonts w:ascii="PT Astra Serif" w:hAnsi="PT Astra Serif"/>
                <w:bCs/>
              </w:rPr>
              <w:t xml:space="preserve"> поликлиника города Ульяновска» за 2024 год – 35 тыс. руб. и запланированного количества участников специальной военной операции </w:t>
            </w:r>
          </w:p>
          <w:p w:rsidR="00836FAD" w:rsidRDefault="00D2016F" w:rsidP="00D2016F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2025г – 100 человек, </w:t>
            </w:r>
            <w:r w:rsidRPr="00D2016F">
              <w:rPr>
                <w:rFonts w:ascii="PT Astra Serif" w:hAnsi="PT Astra Serif"/>
                <w:bCs/>
              </w:rPr>
              <w:t>3,5 млн.</w:t>
            </w:r>
          </w:p>
          <w:p w:rsidR="00D2016F" w:rsidRPr="00586CE3" w:rsidRDefault="00D2016F" w:rsidP="00D20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</w:rPr>
              <w:t xml:space="preserve">2026г – 100 человек, </w:t>
            </w:r>
            <w:r w:rsidRPr="00D2016F">
              <w:rPr>
                <w:rFonts w:ascii="PT Astra Serif" w:hAnsi="PT Astra Serif"/>
                <w:bCs/>
              </w:rPr>
              <w:t>3,5 млн.</w:t>
            </w:r>
          </w:p>
        </w:tc>
      </w:tr>
      <w:tr w:rsidR="00FC1AC9" w:rsidRPr="00586CE3" w:rsidTr="00D75624">
        <w:tc>
          <w:tcPr>
            <w:tcW w:w="7116" w:type="dxa"/>
            <w:gridSpan w:val="2"/>
          </w:tcPr>
          <w:p w:rsidR="00FC1AC9" w:rsidRPr="005C3053" w:rsidRDefault="00FC1AC9" w:rsidP="00FA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r w:rsidR="00CF38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период  202</w:t>
            </w:r>
            <w:r w:rsidR="00FA3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  <w:r w:rsidR="00D201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2026 гг.</w:t>
            </w:r>
          </w:p>
        </w:tc>
        <w:tc>
          <w:tcPr>
            <w:tcW w:w="2773" w:type="dxa"/>
          </w:tcPr>
          <w:p w:rsidR="00D2016F" w:rsidRDefault="00FA339F" w:rsidP="00D2016F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бюджет - </w:t>
            </w:r>
            <w:r w:rsidR="00D2016F" w:rsidRPr="00D2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2025г – </w:t>
            </w:r>
            <w:r w:rsidR="00D2016F">
              <w:rPr>
                <w:rFonts w:ascii="PT Astra Serif" w:hAnsi="PT Astra Serif"/>
                <w:bCs/>
              </w:rPr>
              <w:t>3,5 млн.</w:t>
            </w:r>
          </w:p>
          <w:p w:rsidR="00FA339F" w:rsidRPr="00586CE3" w:rsidRDefault="00D2016F" w:rsidP="00D201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 – 3,5 млн.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FA339F" w:rsidRPr="005C3053" w:rsidRDefault="00FA339F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FA339F" w:rsidRDefault="00FA339F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2016F" w:rsidRDefault="00D2016F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0B2CB1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0B2CB1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0B2CB1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836D94" w:rsidRDefault="00836D94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836D94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D50402" w:rsidRDefault="00836D94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960D97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65"/>
        <w:gridCol w:w="1785"/>
        <w:gridCol w:w="1826"/>
        <w:gridCol w:w="1780"/>
      </w:tblGrid>
      <w:tr w:rsidR="00600EB4" w:rsidRPr="00600EB4" w:rsidTr="00960D97">
        <w:tc>
          <w:tcPr>
            <w:tcW w:w="2498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Наиме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Показа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960D97" w:rsidRPr="00600EB4" w:rsidTr="00960D97">
        <w:tc>
          <w:tcPr>
            <w:tcW w:w="2498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960D97" w:rsidRPr="00960D97" w:rsidRDefault="00960D9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</w:t>
      </w:r>
      <w:r w:rsidR="00303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(в среднем в год): 0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7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25808"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.1.Мероприятия</w:t>
            </w: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07582D" w:rsidRDefault="00DB3BBB" w:rsidP="00960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672704" w:rsidRPr="00DB3BBB" w:rsidRDefault="00672704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674E" w:rsidRPr="00DB3BBB" w:rsidTr="00D25808">
        <w:tc>
          <w:tcPr>
            <w:tcW w:w="2552" w:type="dxa"/>
          </w:tcPr>
          <w:p w:rsidR="0045674E" w:rsidRDefault="0045674E" w:rsidP="00A7188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6272C" w:rsidRPr="00DB3BBB" w:rsidRDefault="0026272C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51BDC" w:rsidRDefault="00051BDC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иные мероприятия:  0 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Default="00586CE3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D201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июня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г.;   окончание: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14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D201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июня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 w:rsidR="00FA33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Всег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замечаний и предложений: 0, из них учтено: 0, полностью: 0, учтено частично: 0 .</w:t>
      </w:r>
    </w:p>
    <w:p w:rsidR="00D00491" w:rsidRDefault="00D00491" w:rsidP="0058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tbl>
      <w:tblPr>
        <w:tblW w:w="9360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07582D">
        <w:trPr>
          <w:cantSplit/>
          <w:trHeight w:val="2446"/>
        </w:trPr>
        <w:tc>
          <w:tcPr>
            <w:tcW w:w="5754" w:type="dxa"/>
          </w:tcPr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8D" w:rsidRDefault="0040068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91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C1326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4E5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Д.В.Батраков</w:t>
            </w:r>
            <w:proofErr w:type="spellEnd"/>
          </w:p>
          <w:p w:rsidR="00D00491" w:rsidRPr="0007582D" w:rsidRDefault="00D00491" w:rsidP="00075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0491" w:rsidRPr="00D00491" w:rsidSect="00D2016F">
      <w:headerReference w:type="default" r:id="rId9"/>
      <w:headerReference w:type="first" r:id="rId10"/>
      <w:pgSz w:w="11906" w:h="16838"/>
      <w:pgMar w:top="993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F3" w:rsidRDefault="002B33F3">
      <w:pPr>
        <w:spacing w:after="0" w:line="240" w:lineRule="auto"/>
      </w:pPr>
      <w:r>
        <w:separator/>
      </w:r>
    </w:p>
  </w:endnote>
  <w:endnote w:type="continuationSeparator" w:id="0">
    <w:p w:rsidR="002B33F3" w:rsidRDefault="002B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F3" w:rsidRDefault="002B33F3">
      <w:pPr>
        <w:spacing w:after="0" w:line="240" w:lineRule="auto"/>
      </w:pPr>
      <w:r>
        <w:separator/>
      </w:r>
    </w:p>
  </w:footnote>
  <w:footnote w:type="continuationSeparator" w:id="0">
    <w:p w:rsidR="002B33F3" w:rsidRDefault="002B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835593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324FA"/>
    <w:rsid w:val="0004692D"/>
    <w:rsid w:val="00051BDC"/>
    <w:rsid w:val="00052562"/>
    <w:rsid w:val="00053877"/>
    <w:rsid w:val="00055228"/>
    <w:rsid w:val="0007582D"/>
    <w:rsid w:val="00094BE0"/>
    <w:rsid w:val="0009741F"/>
    <w:rsid w:val="000A5FF3"/>
    <w:rsid w:val="000B05E0"/>
    <w:rsid w:val="000B2CB1"/>
    <w:rsid w:val="000C282F"/>
    <w:rsid w:val="000F3EAB"/>
    <w:rsid w:val="001325F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7962"/>
    <w:rsid w:val="0022228F"/>
    <w:rsid w:val="00230E00"/>
    <w:rsid w:val="0026272C"/>
    <w:rsid w:val="0026415B"/>
    <w:rsid w:val="002725E5"/>
    <w:rsid w:val="002737F4"/>
    <w:rsid w:val="00286DE1"/>
    <w:rsid w:val="002B33F3"/>
    <w:rsid w:val="002B5941"/>
    <w:rsid w:val="002C7EE9"/>
    <w:rsid w:val="002D051D"/>
    <w:rsid w:val="002D75EB"/>
    <w:rsid w:val="002E531C"/>
    <w:rsid w:val="002E6DAD"/>
    <w:rsid w:val="0030313D"/>
    <w:rsid w:val="0032410D"/>
    <w:rsid w:val="00356E29"/>
    <w:rsid w:val="00362680"/>
    <w:rsid w:val="00370B49"/>
    <w:rsid w:val="003A2247"/>
    <w:rsid w:val="003A77D4"/>
    <w:rsid w:val="003A7E81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674E"/>
    <w:rsid w:val="004603BD"/>
    <w:rsid w:val="0048649A"/>
    <w:rsid w:val="004A46DD"/>
    <w:rsid w:val="004A6D46"/>
    <w:rsid w:val="004B29FE"/>
    <w:rsid w:val="004B3A02"/>
    <w:rsid w:val="004C3161"/>
    <w:rsid w:val="004E5A7E"/>
    <w:rsid w:val="0055135B"/>
    <w:rsid w:val="005547A2"/>
    <w:rsid w:val="00555184"/>
    <w:rsid w:val="00571F69"/>
    <w:rsid w:val="00584C58"/>
    <w:rsid w:val="00586CE3"/>
    <w:rsid w:val="005923BB"/>
    <w:rsid w:val="005B1989"/>
    <w:rsid w:val="005B5823"/>
    <w:rsid w:val="005C3053"/>
    <w:rsid w:val="005C525F"/>
    <w:rsid w:val="005E4770"/>
    <w:rsid w:val="00600EB4"/>
    <w:rsid w:val="006055B8"/>
    <w:rsid w:val="00645DB5"/>
    <w:rsid w:val="0066002C"/>
    <w:rsid w:val="006608FF"/>
    <w:rsid w:val="0066174F"/>
    <w:rsid w:val="00672704"/>
    <w:rsid w:val="00672C3F"/>
    <w:rsid w:val="00683CB2"/>
    <w:rsid w:val="006A5DEC"/>
    <w:rsid w:val="006A67CE"/>
    <w:rsid w:val="006C7E8C"/>
    <w:rsid w:val="006E5C3A"/>
    <w:rsid w:val="006F3B58"/>
    <w:rsid w:val="00711695"/>
    <w:rsid w:val="007252A5"/>
    <w:rsid w:val="0073269F"/>
    <w:rsid w:val="007336BD"/>
    <w:rsid w:val="00751E5C"/>
    <w:rsid w:val="007869BF"/>
    <w:rsid w:val="00790EC6"/>
    <w:rsid w:val="007D39EB"/>
    <w:rsid w:val="0080313C"/>
    <w:rsid w:val="00806822"/>
    <w:rsid w:val="008252C9"/>
    <w:rsid w:val="008330D1"/>
    <w:rsid w:val="00835593"/>
    <w:rsid w:val="00836D94"/>
    <w:rsid w:val="00836FAD"/>
    <w:rsid w:val="00840BF4"/>
    <w:rsid w:val="00842BA4"/>
    <w:rsid w:val="00845278"/>
    <w:rsid w:val="00883815"/>
    <w:rsid w:val="008D0F8B"/>
    <w:rsid w:val="008D30BA"/>
    <w:rsid w:val="00904873"/>
    <w:rsid w:val="0091329D"/>
    <w:rsid w:val="00920BB5"/>
    <w:rsid w:val="00937A33"/>
    <w:rsid w:val="00952A7A"/>
    <w:rsid w:val="009607CC"/>
    <w:rsid w:val="00960D97"/>
    <w:rsid w:val="00977B93"/>
    <w:rsid w:val="0098756B"/>
    <w:rsid w:val="009B0117"/>
    <w:rsid w:val="009D7675"/>
    <w:rsid w:val="009E65B2"/>
    <w:rsid w:val="00A501AD"/>
    <w:rsid w:val="00A71888"/>
    <w:rsid w:val="00A7256F"/>
    <w:rsid w:val="00A80BF9"/>
    <w:rsid w:val="00AA16B4"/>
    <w:rsid w:val="00AB32EC"/>
    <w:rsid w:val="00AC3DCC"/>
    <w:rsid w:val="00AD1DF5"/>
    <w:rsid w:val="00AD5E43"/>
    <w:rsid w:val="00AE4809"/>
    <w:rsid w:val="00AF7698"/>
    <w:rsid w:val="00B03113"/>
    <w:rsid w:val="00B05030"/>
    <w:rsid w:val="00B14082"/>
    <w:rsid w:val="00B27D6B"/>
    <w:rsid w:val="00B32F00"/>
    <w:rsid w:val="00B3611D"/>
    <w:rsid w:val="00B5130C"/>
    <w:rsid w:val="00B6355A"/>
    <w:rsid w:val="00B66AFA"/>
    <w:rsid w:val="00B9228F"/>
    <w:rsid w:val="00B97887"/>
    <w:rsid w:val="00BD4125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A15BE"/>
    <w:rsid w:val="00CB4EBE"/>
    <w:rsid w:val="00CB754C"/>
    <w:rsid w:val="00CC65A5"/>
    <w:rsid w:val="00CE3951"/>
    <w:rsid w:val="00CF381C"/>
    <w:rsid w:val="00D00491"/>
    <w:rsid w:val="00D17808"/>
    <w:rsid w:val="00D2016F"/>
    <w:rsid w:val="00D25808"/>
    <w:rsid w:val="00D27D9E"/>
    <w:rsid w:val="00D40855"/>
    <w:rsid w:val="00D50402"/>
    <w:rsid w:val="00D71395"/>
    <w:rsid w:val="00D75624"/>
    <w:rsid w:val="00D855C2"/>
    <w:rsid w:val="00D9009E"/>
    <w:rsid w:val="00DA15CD"/>
    <w:rsid w:val="00DA5811"/>
    <w:rsid w:val="00DB3422"/>
    <w:rsid w:val="00DB3BBB"/>
    <w:rsid w:val="00DB556F"/>
    <w:rsid w:val="00DD346C"/>
    <w:rsid w:val="00DF52AB"/>
    <w:rsid w:val="00E07897"/>
    <w:rsid w:val="00E07C61"/>
    <w:rsid w:val="00E24690"/>
    <w:rsid w:val="00E4325D"/>
    <w:rsid w:val="00E43B9D"/>
    <w:rsid w:val="00E55390"/>
    <w:rsid w:val="00E616C9"/>
    <w:rsid w:val="00EA591B"/>
    <w:rsid w:val="00ED7DAC"/>
    <w:rsid w:val="00EE46F5"/>
    <w:rsid w:val="00F119D7"/>
    <w:rsid w:val="00F15CD8"/>
    <w:rsid w:val="00F657AF"/>
    <w:rsid w:val="00F74661"/>
    <w:rsid w:val="00F93BF9"/>
    <w:rsid w:val="00F94F81"/>
    <w:rsid w:val="00FA22EA"/>
    <w:rsid w:val="00FA339F"/>
    <w:rsid w:val="00FB5A40"/>
    <w:rsid w:val="00FC1AC9"/>
    <w:rsid w:val="00FD1243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DA02-F9F9-4FD8-8BBA-0D2859D3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Байгузина Екатерина Александровна</cp:lastModifiedBy>
  <cp:revision>2</cp:revision>
  <cp:lastPrinted>2024-12-04T13:20:00Z</cp:lastPrinted>
  <dcterms:created xsi:type="dcterms:W3CDTF">2025-06-24T11:10:00Z</dcterms:created>
  <dcterms:modified xsi:type="dcterms:W3CDTF">2025-06-24T11:10:00Z</dcterms:modified>
</cp:coreProperties>
</file>