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FA2C2D" w:rsidRDefault="00FA4B62" w:rsidP="00236FC0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D0535E"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32383B"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D2191B"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вакантных </w:t>
      </w:r>
      <w:r w:rsidR="000B4C81"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977C14"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Правительства</w:t>
      </w:r>
      <w:r w:rsidRPr="00FA2C2D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Ульяновской области</w:t>
      </w:r>
    </w:p>
    <w:tbl>
      <w:tblPr>
        <w:tblW w:w="9339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079"/>
      </w:tblGrid>
      <w:tr w:rsidR="006061F6" w:rsidRPr="00DA2A32" w:rsidTr="00DA2A32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DA2A32" w:rsidRDefault="00FA4B62" w:rsidP="00DA2A32">
            <w:pPr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DA2A32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DA2A32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="00D2191B" w:rsidRPr="00DA2A32">
              <w:rPr>
                <w:rFonts w:ascii="PT Astra Serif" w:hAnsi="PT Astra Serif"/>
                <w:b/>
                <w:sz w:val="24"/>
                <w:szCs w:val="24"/>
              </w:rPr>
              <w:t xml:space="preserve">вакантной </w:t>
            </w:r>
            <w:r w:rsidR="00977C14" w:rsidRPr="00DA2A32">
              <w:rPr>
                <w:rFonts w:ascii="PT Astra Serif" w:hAnsi="PT Astra Serif"/>
                <w:b/>
                <w:sz w:val="24"/>
                <w:szCs w:val="24"/>
              </w:rPr>
              <w:t>должност</w:t>
            </w:r>
            <w:r w:rsidR="00D2191B" w:rsidRPr="00DA2A32">
              <w:rPr>
                <w:rFonts w:ascii="PT Astra Serif" w:hAnsi="PT Astra Serif"/>
                <w:b/>
                <w:sz w:val="24"/>
                <w:szCs w:val="24"/>
              </w:rPr>
              <w:t>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DA2A32" w:rsidRDefault="00FA4B62" w:rsidP="00DA2A32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A2A32">
              <w:rPr>
                <w:rFonts w:ascii="PT Astra Serif" w:hAnsi="PT Astra Serif"/>
                <w:b/>
                <w:sz w:val="24"/>
                <w:szCs w:val="24"/>
              </w:rPr>
              <w:t>Требования к кандидатам</w:t>
            </w:r>
          </w:p>
        </w:tc>
      </w:tr>
      <w:tr w:rsidR="00F31185" w:rsidRPr="00DA2A32" w:rsidTr="00DA2A32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85" w:rsidRPr="00DA2A32" w:rsidRDefault="00662B3E" w:rsidP="00DA2A32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Заместитель начальника департамента внутреннего государственного финансового контроля контрольного управления администрации Губернатора Ульяновской области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85" w:rsidRPr="00DA2A32" w:rsidRDefault="00662B3E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1.</w:t>
            </w:r>
            <w:r w:rsidR="00F31185" w:rsidRPr="00DA2A32">
              <w:rPr>
                <w:rFonts w:ascii="PT Astra Serif" w:hAnsi="PT Astra Serif"/>
                <w:sz w:val="24"/>
                <w:szCs w:val="24"/>
              </w:rPr>
              <w:t>Гражданство Российской Федерации </w:t>
            </w:r>
          </w:p>
          <w:p w:rsidR="00F31185" w:rsidRPr="00DA2A32" w:rsidRDefault="00F31185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F31185" w:rsidRPr="00DA2A32" w:rsidRDefault="00F31185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5B6D37" w:rsidRPr="00DA2A32" w:rsidRDefault="00F31185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Наличие высшего образования не ниже уровня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специалитета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>, магистратуры (за исключением случая получения высшего профессионального образования до 29.08.1996 либо назначения на соответствующую должность до 01.07.2016) по следующим специальностям, направлениям подготовки (укрупнённым группам специальностей и направлений подготовки):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      </w:r>
          </w:p>
          <w:p w:rsidR="00207088" w:rsidRPr="00DA2A32" w:rsidRDefault="00207088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не менее двух лет стажа гражданской службы или стажа работы по специальности, направлению подготовки.</w:t>
            </w:r>
          </w:p>
          <w:p w:rsidR="00662B3E" w:rsidRPr="00DA2A32" w:rsidRDefault="00662B3E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Для лиц, имеющих дипломы специалиста или магистра с отличием, в течение трёх лет со дня выдачи диплома – не менее одного года стажа гражданской службы или работы по специальности, направлению подготовки.</w:t>
            </w:r>
          </w:p>
          <w:p w:rsidR="00207088" w:rsidRPr="00DA2A32" w:rsidRDefault="00207088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83D50" w:rsidRPr="00DA2A32" w:rsidRDefault="00F31185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5. Знания и умения: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Профессиональный уровень: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Наличие базовых знаний: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Государственного языка Российской Федерации (русского языка). 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 Конституции Российской Федерации, законодательства о гражданской службе, законодательства о противодействии коррупции.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 области информационно-коммуникационных технологий: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основ информационной безопасности и защиты информации, включая: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пользования› и сведениями, составляющими государственную тайну;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порядок работы со служебной почтой, а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так</w:t>
            </w:r>
            <w:r w:rsidR="00DA2A32">
              <w:rPr>
                <w:rFonts w:ascii="PT Astra Serif" w:hAnsi="PT Astra Serif"/>
                <w:sz w:val="24"/>
                <w:szCs w:val="24"/>
              </w:rPr>
              <w:t>ж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е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фишинговые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 xml:space="preserve"> письма 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и спам–рассылки, умение корректно и своевременно реагировать на получение таких электронных сообщений;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основных положений законодательства о персональных данных, включая: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понятие персональных данных, принципы и условия их обработки;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меры по обеспечению безопасности персональных данных </w:t>
            </w:r>
            <w:proofErr w:type="gramStart"/>
            <w:r w:rsidRPr="00DA2A32">
              <w:rPr>
                <w:rFonts w:ascii="PT Astra Serif" w:hAnsi="PT Astra Serif"/>
                <w:sz w:val="24"/>
                <w:szCs w:val="24"/>
              </w:rPr>
              <w:t xml:space="preserve">при 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их</w:t>
            </w:r>
            <w:proofErr w:type="gramEnd"/>
            <w:r w:rsidRPr="00DA2A32">
              <w:rPr>
                <w:rFonts w:ascii="PT Astra Serif" w:hAnsi="PT Astra Serif"/>
                <w:sz w:val="24"/>
                <w:szCs w:val="24"/>
              </w:rPr>
              <w:t xml:space="preserve"> обработке в информационных системах;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основных положений законодательства об электронной подписи, включая: понятие и виды электронных подписей;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5B6D37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 делопроизводства и документооборота.</w:t>
            </w:r>
          </w:p>
          <w:p w:rsidR="00DA2A32" w:rsidRPr="00DA2A32" w:rsidRDefault="00DA2A32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Наличие профессиональных знаний: </w:t>
            </w:r>
            <w:r w:rsidR="00DA2A32">
              <w:rPr>
                <w:rFonts w:ascii="PT Astra Serif" w:hAnsi="PT Astra Serif"/>
                <w:sz w:val="24"/>
                <w:szCs w:val="24"/>
              </w:rPr>
              <w:t>в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сфере законодательства Российской Федерации: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Бюджетного кодекса Российской Федерации;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Налоговый кодекс Российской Федерации;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27.07.2004 № 79-ФЗ «О государственной гражданской службе Российской Федерации»;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27.05.2003 № 58-ФЗ «О системе государственной службы Российской Федерации»;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25.12.2008 № 273-ФЗ «О противодействии коррупции»;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Указа Президента Российской Федерации от 12.08.2002 № 885 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«Об утверждении общих принципов служебного поведения государственных служащих»;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27.07.2006 № 152-ФЗ «О персональных данных»;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06.12.2011 № 402-ФЗ «О бухгалтерском учёте»;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приказа Министерства финансов Российской Федерации от 21.11.2019 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приказа Министерства финансов Российской Федерации от 21.11.2019 № 196н «Об утверждении федерального стандарта внутреннего финансового аудита «Определения, принципы и задачи внутреннего финансового аудита»;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приказа Министерства финансов Российской Федерации от 18.12.2019 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приказа Министерства финансов Российской Федерации от 22.05.2020 № 91н «Об утверждении федерального стандарта внутреннего финансового аудита «Реализация результатов внутреннего финансового аудита»;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приказа Министерства финансов Российской Федерации от 05.08.2020 № 160н «Об утверждении федерального стандарта внутреннего финансового аудита «Планиров</w:t>
            </w:r>
            <w:r w:rsidR="00DA2A32">
              <w:rPr>
                <w:rFonts w:ascii="PT Astra Serif" w:hAnsi="PT Astra Serif"/>
                <w:sz w:val="24"/>
                <w:szCs w:val="24"/>
              </w:rPr>
              <w:t>а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ние и проведение внутреннего финансового аудита»;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приказа Министерства финансов Российской Федерации от 01.09.2021 № 120н 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отчётности и соответствия порядка ведения бюджетного учёта единой методологии бюджетного учёта, составления, представления и утверждения бюджетной отчётности»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Постановления Правительства Ульяновской области от 26.11.2021 № 603-П «Об утверждении Правил организации и осуществления Правительством Ульяновской области внутреннего финансового аудита»;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нормативных правовых актов, устанавливающих в соответствии требованием Бюджетного кодекса Российской Федерации: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единую методологию бюджетного (бухгалтерского) учёта, составления, представления и утверждения бюджетной отчётности (бухгалтерской (финансовой) отчетности государственных (муниципальных) учреждений);</w:t>
            </w:r>
          </w:p>
          <w:p w:rsid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формы документов, необходимых для реализации полномочий по осуществлению бюджетного (бухгалтерского) учёта;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единую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методологию бюджетной классификации Российской Федерации, бюджетной отчётности;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методологическое руководство по бухгалтерскому учёту и отчётности юридических лиц независимо от их организационно-правовых форм;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общие требования к порядку составления, утверждения и ведения бюджетных смет казённых учреждений;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общие требования к нормативным правовым актам, регулирующим предоставление субсидий юридическим лицам;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федеральные стандарты бухгалтерского учёта;</w:t>
            </w:r>
          </w:p>
          <w:p w:rsidR="00DA2A32" w:rsidRDefault="00DA2A32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Иные профессиональные знания: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Устава Ульяновской области;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29.09.2015 № 120-</w:t>
            </w:r>
            <w:proofErr w:type="gramStart"/>
            <w:r w:rsidRPr="00DA2A32">
              <w:rPr>
                <w:rFonts w:ascii="PT Astra Serif" w:hAnsi="PT Astra Serif"/>
                <w:sz w:val="24"/>
                <w:szCs w:val="24"/>
              </w:rPr>
              <w:t xml:space="preserve">ЗО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</w:t>
            </w:r>
            <w:proofErr w:type="gramEnd"/>
            <w:r w:rsidRPr="00DA2A32">
              <w:rPr>
                <w:rFonts w:ascii="PT Astra Serif" w:hAnsi="PT Astra Serif"/>
                <w:sz w:val="24"/>
                <w:szCs w:val="24"/>
              </w:rPr>
              <w:t>О государственной гражданской службе Ульяновской области»;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02.10.2012 № 123-ЗО «Об особенностях бюджетного процесса в Ульяновской области»;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20.07.2012 № 89-ЗО «О противодействии коррупции в Ульяновской области»;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указа Губернатора Ульяновской области от 28.12.2022 № 175 «О системе и структуре исполнительных органов Ульяновской области»;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распоряжения Губернатора Ульяновской области от 21.10.2022 № 1093-р «Об утверждении Положения о контрольном управлении администрации Губернатора Ульяновской области и признании утратившими силу отдельных распоряжений Губернатора Ульяновской области»;</w:t>
            </w:r>
            <w:r w:rsid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практики применения законодательства о бюджетном (бухгалтерском) учёте.</w:t>
            </w:r>
          </w:p>
          <w:p w:rsidR="00CD0C29" w:rsidRDefault="00CD0C29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функциональных знаний: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методов бюджетного планирования;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принципов бюджетного учёта и отчётности.</w:t>
            </w:r>
          </w:p>
          <w:p w:rsidR="00CD0C29" w:rsidRDefault="00CD0C29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базовых умений: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мыслить системно (стратегически);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планировать, рационально использовать служебное время и достигать результата;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коммуникативные умения;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управлять изменениями;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в области информационно-коммуникационных технологий: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умение работать со справочными нормативно-правовыми базами, 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а также государственной системой правовой информации «Официальный интернет-портал правовой информации» (pravo.gov.ru);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умение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работать с общими сетевыми ресурсами (сетевыми дисками, папками).</w:t>
            </w:r>
          </w:p>
          <w:p w:rsidR="00CD0C29" w:rsidRDefault="00CD0C29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профессиональных умений: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 планированию аудиторских мероприятий;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 организации, подготовке и проведению аудиторских мероприятий, а также обеспечению подготовки заключений по результатам проведённых аудиторских мероприятий;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 работе с информационными ресурсами и базами данных, в том числе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 целях планирования и проведения аудиторских мероприятий.</w:t>
            </w:r>
          </w:p>
          <w:p w:rsidR="00CD0C29" w:rsidRDefault="00CD0C29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функциональных умений: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 анализу эффективности и результативности расходования бюджетных средств;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 разработке и формированию проектов прогнозов по организации бюджетного процесса в государственном органе;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 определению оптимальных методов и инструментов внутреннего финансового аудита;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 применению методов эффективного планирования, организации мероприятий внутреннего финансового аудита.</w:t>
            </w:r>
          </w:p>
          <w:p w:rsidR="00C83D50" w:rsidRPr="00DA2A32" w:rsidRDefault="00C83D50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F31185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6.Должностные обязанности: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соблюдать требования законодательства Российской Федерации, а также положения правовых актов, регулирующих организацию и осуществление внутреннего финансового аудита, включая федеральные стандарты внутреннего финансового аудита и ведомственные акты Правительства Ульяновской области;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своевременно сообщать начальнику департамента о нарушениях должностными лицами (работниками) Правительства Ульяновской области и подведомственных ему казённых учреждений (в случае передачи полномочий подведомственных Правительству Ульяновской области казённых учреждений по осуществлению внутреннего финансового аудита Правительству Ульяновской области), о личной заинтересованности при исполнении должностных обязанностей, которая может привести к конфликту интересов, а также о выявленных признаках коррупционных и иных правонарушений;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использовать информацию, полученную при осуществлении внутреннего финансового аудита, исключительно в целях исполнения должностных обязанностей;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применять основанный на результатах оценки бюджетных рисков (риск-ориентированный) подход при планировании и проведении аудиторских мероприятий;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сбор и анализ информации о бюджетных рисках, оценивает бюджетные риски и способы их минимизации, а также анализирует выявленные нарушения и (или) недостатки в целях ведения реестра бюджетных рисков;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проводить анализ документов и фактических данных, информации, связанных с объектом внутреннего финансового аудита, в целях планирования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lastRenderedPageBreak/>
              <w:t>и проведения аудиторского мероприятия;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по результатам проведённой оценки бюджетных рисков осуществлять планирование аудиторского мероприятия и формирует программу аудиторского мероприятия, а также представлять её на утверждение начальнику Управления;</w:t>
            </w:r>
          </w:p>
          <w:p w:rsidR="005B6D37" w:rsidRPr="00DA2A32" w:rsidRDefault="005B6D37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проводить аудиторские мероприятия в соответствии с программами этих мероприятий, в том числе по решению начальника департамента выполняет отдельные задания и подготавливает аналитические записки в рамках аудиторского мероприятия;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обеспечивать получение достаточных аудиторских доказательств;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формировать рабочую документацию аудиторского мероприятия;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обеспечивать выполнение программы аудиторского мероприятия в соответствии с принципами внутреннего финансового аудита, осуществляя контроль полноты рабочей документации аудиторского мероприятия и достаточности аудиторских доказательств;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обеспечивать подготовку заключения о результатах аудиторского мероприятия;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направлять субъектам бюджетных процедур, являющимся руководителями структурных подразделений Правительства Ульяновской области, программу аудиторского мероприятия, а также заключение в целях ознакомления;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подготавливать материалы, необходимые для рассмотрения письменных возражений и предложений, полученных от субъектов бюджетных процедур, являющихся руководителями структурных подразделений Правительства Ульяновской области, и по результатам проведённого аудиторского мероприятия (при наличии);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принимать участие в подготовке годовой отчётности о результатах осуществления внутреннего финансового аудита;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выполнять иные служебные поручения начальника департамента;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осуществлять наставничество в соответствии с решением представителя нанимателя;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C83D50" w:rsidRPr="00DA2A32" w:rsidRDefault="00C83D50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F31185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соответствие требованиям, предъявляемым к должности; владение современными профессиональными технологиями;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своевременность выполнения поставленных задач;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соответствие подготовленных документов предъявляемым требованиям;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соблюдение трудовой дисциплины.</w:t>
            </w:r>
          </w:p>
          <w:p w:rsidR="00662B3E" w:rsidRPr="00DA2A32" w:rsidRDefault="00662B3E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31185" w:rsidRPr="00DA2A32" w:rsidRDefault="00F31185" w:rsidP="00CD0C29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</w:t>
            </w:r>
            <w:r w:rsidR="00662B3E" w:rsidRPr="00DA2A32">
              <w:rPr>
                <w:rFonts w:ascii="PT Astra Serif" w:hAnsi="PT Astra Serif"/>
                <w:sz w:val="24"/>
                <w:szCs w:val="24"/>
              </w:rPr>
              <w:t>40352,4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  <w:tr w:rsidR="00662B3E" w:rsidRPr="00DA2A32" w:rsidTr="00DA2A32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B3E" w:rsidRPr="00DA2A32" w:rsidRDefault="00662B3E" w:rsidP="00CD0C29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Главный советник департамента государственной и муниципальной службы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1.Гражданство Российской Федерации 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высшего образования не ниже уровня специалиста, магистратуры (за исключением случая получения высшего профессионального образования до 29.08.1996 года).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не менее двух лет стажа гражданской службы или стажа работы по специальности, направлению подготовки.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Для лиц, имеющих дипломы специалиста или магистра с отличием, в течение трёх лет со дня выдачи диплома – не менее одного года стажа гражданской службы или работы по специальности, направлению подготовки.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D0C29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5. Знания и умения: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D0C29" w:rsidRDefault="00CD0C29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базовых знаний: Государственного языка Российской Федерации (русского языка). 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В области информационно-коммуникационных технологий: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 информационной безопасности и защиты информации, включая: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фишинговые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требования по обеспечению безопасности информации при использовании удалённого доступа к информационным ресурсам государственного органа с помощью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основных положений законодательства о персональных данных, включая: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понятие персональных данных, принципы и условия их обработки;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общих принципов функционирования системы электронного 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основных положений законодательства об электронной подписи, включая:</w:t>
            </w:r>
          </w:p>
          <w:p w:rsidR="005B6D37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понятие и виды электронных подписей;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Основ делопроизводства и документооборота.</w:t>
            </w:r>
          </w:p>
          <w:p w:rsidR="00CD0C29" w:rsidRPr="00DA2A32" w:rsidRDefault="00CD0C29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профессиональных знаний: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сфере законодательства Российской Федерации: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Трудовой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кодекс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Российской Федерации;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21.12.2021 № 414-ФЗ «Об общих принципах организации публичной власти в субъектах Российской Федерации» (в части структуры законодательных (представительных) и исполнительных органов субъекта Российской Федерации);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Федеральный закон от 27.07.2004 № 79-ФЗ «О государственной гражданской службе Российской Федерации»;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 (в части структуры органов местного самоуправления);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27.07.2006 № 152-ФЗ «О персональных данных»;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02.03.2007 № 25-ФЗ «О муниципальной службе 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в Российской Федерации» (в части взаимосвязи муниципальной службы 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и государственной гражданской службы);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29.12.2012 № 273-ФЗ «Об образовании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в Российской Федерации»;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25.12.2008 № 273-ФЗ «О противодействии коррупции»;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Федеральный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закон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от 27.05.2003 № 58-ФЗ «О системе государственной службы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Российской Федерации»;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Федеральный закон от 08.05.1994 № 3-ФЗ «О статусе сенатора Российской Федерации и статусе депутата Государственной Думы Федерального Собрания Российской Федерации»;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11.01.1995 № 32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«О государственных должностях Ро</w:t>
            </w:r>
            <w:r w:rsidR="00CD0C29">
              <w:rPr>
                <w:rFonts w:ascii="PT Astra Serif" w:hAnsi="PT Astra Serif"/>
                <w:sz w:val="24"/>
                <w:szCs w:val="24"/>
              </w:rPr>
              <w:t>с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сийской Федерации»;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09.03.2004 № 314 «О системе и структуре федеральных органов исполнительной власти»;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31.12.2005 № 1574 «О Реестре должностей федеральной государственной гражданской службы»;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07.05.2012 № 601 «Об основных направлениях совершенствования системы государственного управления»;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16.01.2017 № 16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16.02.2005 № 159 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18.07.2005 № 813 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«О порядке и условиях командирования федеральных государственных гражданских служащих»;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25.07.2006 № 763 «О денежном содержании федеральных государственных гражданских служащих»;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Указ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Указ Президента Российской Федерации от 21.01.2020 № 21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«О структуре федеральных органов исполнительной власти»;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Указ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D0C29">
              <w:rPr>
                <w:rFonts w:ascii="PT Astra Serif" w:hAnsi="PT Astra Serif"/>
                <w:sz w:val="24"/>
                <w:szCs w:val="24"/>
              </w:rPr>
              <w:t>постановление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Правительства Российской Федерации от 19.09.2013 № 822 «Об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должности государственной гражданской службы, или государственном органе, которому переданы функции упразднённого государственного органа, вакантной должности государственной гражданской службы в иных государственных органах»;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постановление Правительства Российской Федерации от 15.01.2020 № 9 «Об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власти»;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распоряжение Правительства Российской Федерации от 26.05.2005 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Федерации».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приказ Минтруда России от 19.05.2021 № 320н «Об утверждении формы, порядка ведения и хранения трудовых книжек».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2.3.2.2. Иные профессиональные знания: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 Ульяновской области от 30.01.2006 № 06-ЗО «О государственных должностях Ульяновской области»;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 Ульяновской области от 29.09.2015 № 120-ЗО «О государственной гражданской службе Ульяновской области»;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 Ульяновской области от 19.12.2006 № 212-ЗО «О Реестре должностей государственной гражданской службы Ульяновской области»;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 Ульяновской области от 09.11.2010 № 179-ЗО «О пенсионном обеспечении государственных гражданских служащих Ульяновской области»;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указ Губернатора Ульяновской области от 25.11.2019 № 95 «Об оплате труда работников государственных органов Ульяновской области, замещающих должности, не являющиеся должностями государственной гражданской службы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постановление Губернатора Ульяновской области от 24.10.2007 № 68 «О порядке ведения Реестров государственных гражданских служащих в государственных органах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распоряжение Губернатора Ульяновской области от 16.03.2017 № 196-р «О должностных регламентах государственных гражданских служащих Правительства Ульяновской области и исполнительных органов Ульяновской области»;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нормативные правовые акты исполнительных органов Ульяновской области в части регулирования государственной гражданской службы;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основные направления совершенствования государственного управления;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понятие и признаки государства;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понятие, цели, элементы государственного управления;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основные модели и концепции государственной службы;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опыт реформирования государственной службы в Российской Федерации;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технологии управления по целям и управления по результатам;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пути совершенствования системы оплаты труда на государственной службе;</w:t>
            </w:r>
          </w:p>
          <w:p w:rsidR="00CD0C29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методы прогнозирования численности персонала и подходы 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к нормированию труда.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D0C29" w:rsidRDefault="00CD0C29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функциональных знаний: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функция кадровой службы организации;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принципы формирования и оценки эффективности деятельности кадровых служб в организациях;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порядок расчёта стажа государственной гражданской службы или стажа работы по специальности, направлению подготовки, компенсаций, </w:t>
            </w:r>
            <w:r w:rsidR="00CD0C29">
              <w:rPr>
                <w:rFonts w:ascii="PT Astra Serif" w:hAnsi="PT Astra Serif"/>
                <w:sz w:val="24"/>
                <w:szCs w:val="24"/>
              </w:rPr>
              <w:t>о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формления пенсий государственным гражданским служащим;</w:t>
            </w:r>
          </w:p>
          <w:p w:rsidR="005B6D37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нормы этики и делового общения;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базовые основы информатики, структурное построение информационных систем и особенности работы с ними.</w:t>
            </w:r>
          </w:p>
          <w:p w:rsidR="00CD0C29" w:rsidRPr="00DA2A32" w:rsidRDefault="00CD0C29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базовых умений: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мыслить системно (стратегически);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планировать, рационально использовать служебное время и достигать результата;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коммуникативные умения;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управлять изменениями;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в области информационно-коммуникационных технологий: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оперативно осуществлять поиск необходимой информации,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 том числе с использованием информационно-телекоммуникационной сети «Интернет»;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работать со справочными нормативно-правовыми базами,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а также государственной системой правовой информации «Официальный интернет-портал правовой информации» (parvo.gov);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умение работать с общими сетевыми ресурсами (сетевыми дисками, 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папками).</w:t>
            </w:r>
          </w:p>
          <w:p w:rsidR="00CD0C29" w:rsidRDefault="00CD0C29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профессиональных умений: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проведение кадрового анализа и планирование деятельности с учётом организационных целей;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работа в информационной системе и базе данных по ведению, учёту кадров;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планирование работы; продуктивная деятельность в напряжённых условиях, в том числе быстрого переключения с анализа одного материала на анализ другого, 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не менее важного, материала; ведение деловых переговоров;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владение официально-деловым стилем современного русского литературного языка; подготовка и редактирование документов с учётом функционально-стилистических особенностей языка нормативных правовых актов; пользование современной компьютерной и организационной техникой и соответствующими программными продуктами.</w:t>
            </w:r>
          </w:p>
          <w:p w:rsidR="00CD0C29" w:rsidRDefault="00CD0C29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функциональных умений: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едение личных дел, трудовых книжек гражданских служащих;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организация и нормирование труда;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работа в автоматизированной системе управления персоналом «БОСС-Кадровик»;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владение официально-деловым стилем современного русского литературного языка;</w:t>
            </w:r>
          </w:p>
          <w:p w:rsidR="005B6D37" w:rsidRPr="00DA2A32" w:rsidRDefault="005B6D37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разработка проектов организационных и распорядительных документов по кадрам;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представление на проверку заместителю начальника Управления документов в соответствии с требованиями законодательства;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проведение проверки полноты сведений, указанных в документах; подготовка информации для размещения на внутреннем портале и/или официальном сайте государственного органа; взаимодействие с другими органами государственной власти Ульяновской области, органами местного самоуправления муниципальных образований Ульяновской области, организациями;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подготовка отчётов и аналитических записок; осуществление методической помощи и консультирования по вопросам прохождения государственной гражданской службы.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DA2A32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6.Должностные обязанности: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готовить проекты распоряжений Правительства Ульяновской области о назначении на должность (освобождении от должности) гражданских служащих, лиц, замещающих должности, не являющиеся должностями государственной гражданской службы в Правительстве Ульяновской области (далее – работники Правительства), а также служебных контрактов (трудовых договоров) и дополнительных соглашений к ним в отношении указанных категорий;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 xml:space="preserve">готовить в Министерство труда и социальной защиты Российской Федерации мониторинг о состоянии государственной гражданской службы, включая анализ </w:t>
            </w:r>
            <w:proofErr w:type="spellStart"/>
            <w:r w:rsidR="00DA2A32" w:rsidRPr="00DA2A32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="00DA2A32" w:rsidRPr="00DA2A32">
              <w:rPr>
                <w:rFonts w:ascii="PT Astra Serif" w:hAnsi="PT Astra Serif"/>
                <w:sz w:val="24"/>
                <w:szCs w:val="24"/>
              </w:rPr>
              <w:t xml:space="preserve"> законодательства о </w:t>
            </w:r>
            <w:r w:rsidR="00CD0C29">
              <w:rPr>
                <w:rFonts w:ascii="PT Astra Serif" w:hAnsi="PT Astra Serif"/>
                <w:sz w:val="24"/>
                <w:szCs w:val="24"/>
              </w:rPr>
              <w:t>г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осударственной гражданской службе, оценку эффективности использования органами субъектов Российской Федерации кадровых технологий, характеристику и динамику изменений кадрового состава указанных органов и подведомственных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br/>
              <w:t>им организаций;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оформлять при приёме новых работников личные карточки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Т-2 ГС (МС) и Т-2;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готовить дополнительные соглашения о присвоении классных чинов гражданским служащим, вносить информацию о классных чинах в личные карточки по форме Т-2 ГС (МС);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осуществлять учёт персональных данных гражданских служащих,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а также прохождение гражданской службы с использованием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в автоматизированной системы управления персоналом «БОСС-Кадровик»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Федерации»;</w:t>
            </w:r>
          </w:p>
          <w:p w:rsidR="00DA2A32" w:rsidRPr="00DA2A32" w:rsidRDefault="00DA2A32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осуществлять работу по ведению, хранению, учёту трудовых книжек, вкладышей в трудовые книжки лиц, замещающих государственные должности, гражданских служащих и работников Правительства;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подготавливать справочные и информационные материалы;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подготавливать проекты распоряжений Губернатора Ульяновской области о применении мер дисциплинарного взыскания;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взаимодействовать с прокуратурой Ульяновской области по вопросам, относящимся к компетенции департамента;</w:t>
            </w:r>
          </w:p>
          <w:p w:rsidR="00DA2A32" w:rsidRPr="00DA2A32" w:rsidRDefault="00DA2A32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представлять на проверку заместителю начальника Управления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документы в соответствии с требованиями законодательства; консультировать по вопросам кадрового делопроизводства, трудового законодательства, прохождения государственной гражданской службы;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принимать участие в комиссиях, совещаниях, семинарах и других организационных мероприятиях по вопросам, отнесённым к компетенции департамента;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подготавливать информацию о вакантных должностях государственной гражданской службы в исполнительных органах Ульяновской области;</w:t>
            </w:r>
            <w:r w:rsidR="00CD0C2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осуществлять наставничество в соответствии с решением представителя нанимателя;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DA2A32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выполняемый объём работы и интенсивность труда;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своевременность выполнения поручений и рассмотрения обращений граждан и организаций;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A2A32" w:rsidRPr="00DA2A32">
              <w:rPr>
                <w:rFonts w:ascii="PT Astra Serif" w:hAnsi="PT Astra Serif"/>
                <w:sz w:val="24"/>
                <w:szCs w:val="24"/>
              </w:rPr>
              <w:t>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DA2A32" w:rsidRPr="00DA2A32" w:rsidRDefault="00DA2A32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313806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33964,00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  <w:tr w:rsidR="00662B3E" w:rsidRPr="00DA2A32" w:rsidTr="00DA2A32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B3E" w:rsidRPr="00DA2A32" w:rsidRDefault="00662B3E" w:rsidP="00313806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Главный советник департамента муниципальной политики управления внутренней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политики администрации Г</w:t>
            </w:r>
            <w:r w:rsidR="00313806">
              <w:rPr>
                <w:rFonts w:ascii="PT Astra Serif" w:hAnsi="PT Astra Serif"/>
                <w:sz w:val="24"/>
                <w:szCs w:val="24"/>
              </w:rPr>
              <w:t>убернатора Ульяновской области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1.Гражданство Российской Федерации 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Наличие высшего образования не ниже уровня специалиста, магистратуры (за исключением случая получения высшего профессионального образования до 29.08.1996 года).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не менее двух лет стажа гражданской службы или стажа работы по специальности, направлению подготовки.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Для лиц, имеющих дипломы специалиста или магистра с отличием, в течение трёх лет со дня выдачи диплома – не менее одного года стажа гражданской службы или работы по специальности, направлению подготовки.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13806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5. Знания и умения: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13806" w:rsidRDefault="00313806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Профессиональный уровень: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Наличие базовых знаний: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Государственного языка Российской Федерации (русского языка).</w:t>
            </w:r>
          </w:p>
          <w:p w:rsidR="005B6D37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Основ Конституции Российской Федерации, </w:t>
            </w:r>
            <w:r w:rsidR="00313806">
              <w:rPr>
                <w:rFonts w:ascii="PT Astra Serif" w:hAnsi="PT Astra Serif"/>
                <w:sz w:val="24"/>
                <w:szCs w:val="24"/>
              </w:rPr>
              <w:t>з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аконодательства о гражданской службе, законодательства о противодействии коррупции.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 области информационно-коммуникационных технологий: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основ информационной безопасности и защиты информации, включая: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фишинговые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</w:t>
            </w:r>
            <w:r w:rsidRPr="00DA2A32">
              <w:rPr>
                <w:rFonts w:ascii="PT Astra Serif" w:hAnsi="PT Astra Serif"/>
                <w:sz w:val="24"/>
                <w:szCs w:val="24"/>
              </w:rPr>
              <w:br/>
              <w:t>таких электронных сообщений;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 xml:space="preserve">-накопителей, внешних жёстких дисков), в особенности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понятие персональных данных, принципы и условия их обработки;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меры по обеспечению безопасности персональных данных при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их обработке в информационных системах;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основных положений законодательства об электронной подписи, включая: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понятие и виды электронных подписей;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 Основ делопроизводства и документооборота.</w:t>
            </w:r>
          </w:p>
          <w:p w:rsidR="00313806" w:rsidRPr="00DA2A32" w:rsidRDefault="00313806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Наличие профессиональных знаний: </w:t>
            </w:r>
            <w:r w:rsidR="00313806">
              <w:rPr>
                <w:rFonts w:ascii="PT Astra Serif" w:hAnsi="PT Astra Serif"/>
                <w:sz w:val="24"/>
                <w:szCs w:val="24"/>
              </w:rPr>
              <w:t>в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сфере законодательства Российской Федерации: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Конституции Российской Федерации;</w:t>
            </w: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2) Федерального конституционного закона от 28.06.2004 № 5-ФКЗ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«О референдуме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08.05.1994 № 3-ФЗ «О статусе сенатора Российской Федерации и статусе депутата Государственной Думы Федерального Собрания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19.05.1995 № 82-ФЗ «Об общественных объединениях»;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12.01.1996 № 7-ФЗ «О некоммерческих организациях»;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Ф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едерального закона от 24.05.1999 № 99-ФЗ «О государственной политике Российской Федерации в отношении соотечественников за рубежом»;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11.07.2001 № 95-ФЗ «О политических партиях»;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10.01.2003 № 19-ФЗ «О выборах Президента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27.05.2003 № 58-ФЗ «О системе государственной службы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06.10.2003 № 131-ФЗ «Об общих принципах организации местного самоуправления в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19.06.2004 № 54-ФЗ «О собраниях, митингах, демонстрациях, шествиях и пикетированиях»;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27.07.2004 № 79-ФЗ «О государственной гражданской службе Российской Федерации» (далее - Федерального закона «О государственной гражданской службе Российской Федерации»);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02.05.2006 № 59-ФЗ «О порядке рассмотрения обращений граждан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02.03.2007 № 25-ФЗ «О муниципальной службе в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25.12.2008 № 273-ФЗ «О противодействии коррупции»;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Федерального закона от 21.12.2021 № 414-ФЗ «Об общих принципах организации публичной власти в субъектах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Указа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Указа Президента Российской Федерации от 07.05.2012 № 601 «Об основных направлениях совершенствования системы государственного управления»;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Указа Президента Российской Федерации от 16.01.2017 № 13 «Об утверждении Основ государственной политики регионального развития Российской Федерации на период до 2025 года»;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постановления Центральной избирательной комиссии Российской Федерации от 20.10.2021 № 67/493-8 «О списке политических партий, на которые распространяется действие пункта 3 статьи 35.1 Федерального закона «Об основных гарантиях избирательных прав и права на участие в референдуме граждан Российской Федерации»;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иных нормативных правовых актов Российской Федерации, регулирующих отношения в установленной сфере деятельности.</w:t>
            </w: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Иные профессиональные знания: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Устава Ульяновской области;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07.10.2002 № 045-ЗО «О статусе депутата Законодательного Собрания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13.07.2004 № 043-ЗО «О муниципальных образованиях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Закона Ульяновской области от 03.10.2006 № 126-ЗО </w:t>
            </w:r>
            <w:r w:rsidR="00313806">
              <w:rPr>
                <w:rFonts w:ascii="PT Astra Serif" w:hAnsi="PT Astra Serif"/>
                <w:sz w:val="24"/>
                <w:szCs w:val="24"/>
              </w:rPr>
              <w:t>«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 административно-территориальном устройстве Ульяновской области»; Закона Ульяновской области от 01.08.2007 № 109-ЗО «О выборах депутатов представительных органов муниципальных образований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Закона Ульяновской области от 01.08.2007 № 108-ЗО «О выборах глав </w:t>
            </w:r>
            <w:r w:rsidR="00313806">
              <w:rPr>
                <w:rFonts w:ascii="PT Astra Serif" w:hAnsi="PT Astra Serif"/>
                <w:sz w:val="24"/>
                <w:szCs w:val="24"/>
              </w:rPr>
              <w:t>м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униципальных образований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16.04.2008 № 42-ЗО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20.07.2012 № 102-ЗО «О выборах депутатов Законодательного Собрания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Закона Ульяновской области от 30.11.2012 № 189-ЗО «О правовом регулировании отдельных вопросов проведения на территории Ульяновской области публичных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мероприятий»;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Закона Ульяновской области от 07.07.2014 № 100-ЗО «О правовом регулировании отдельных вопросов организации местного самоуправления в Ульяновской области»; 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Закона Ульяновской области от 29.10.2018 № 105-ЗО «О старостах сельских населённых пунктов (сельских старостах) в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постановления Правительства Ульяновской области от 20.12.2012 № 605-П 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постановления Губернатора Ульяновской области от 09.01.2014 № 1 «О законопроектной деятельности в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постановления Губернатора Ульяновской области от 02.12.2016 № 113 «Об утверждении Правил подготовки и издания правовых актов Губернатора Ульяновской области и Правительства Ульяновской области»;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постановления Правительства Ульяновской области от 27.10.2017 № 520-П «Об определении специально отведенных мест, а также помещений, находящихся в собственности Ульяновской области, предоставляемых для проведения встреч депутатов государственной Думы Федерального Собрания Российской Федерации и депутатов Законодательного Собрания Ульяновской области с избирателями, и об утверждении Порядка предоставления указанных помещений»;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иных нормативных правовых актов Ульяновской области, регулирующих отношения в установленной сфере деятельности;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служебного распорядка Правительства Ульяновской области;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структуры и полномочий органов государственной власти Ульяновской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области и органов местного самоуправления муниципальных образований Ульяновской области.</w:t>
            </w:r>
          </w:p>
          <w:p w:rsidR="00313806" w:rsidRDefault="00313806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AC642E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функциональных знаний: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понятия нормы права, нормативного правового акта, правоотношений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и их признаков; понятия проекта нормативного правового акта, инструментов и этапов его разработки;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понятия официального отзыва на проекты нормативных правовых актов: этапов, ключевых принципов и технологий разработки;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понятия, процедуры рассмотрения обращений граждан;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общих принципов организации местного самоуправления;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методов оценки эффективности деятельности органов государственной власти субъектов Российской Федерации и органов местного самоуправления;</w:t>
            </w:r>
            <w:r w:rsidR="003138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норм этики и делового общения.</w:t>
            </w:r>
          </w:p>
          <w:p w:rsidR="00AC642E" w:rsidRDefault="00AC642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Наличие базовых умений: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мыслить системно (стратегически);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планировать, рационально использовать служебное время и достигать результата;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коммуникативных умений;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управлять изменениями;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умений в области информационно-коммуникационных технологий: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оперативно осуществлять поиск необходимой информации, в том числе с использованием информационно-телекоммуникационной сети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«Интернет»;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умения работать с общими сетевыми ресурсами (сетевыми дисками, папками).</w:t>
            </w: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профессиональных умений: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ведения деловых переговоров;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взаимодействия с государственными органами, а также органами местного самоуправления, иными органами и организациями;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контроля, анализа и прогнозирования последствий реализуемых управленческих и иных решений;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продуктивной деятельности в напряжённых условиях, в том числе быстрого переключения с анализа одного материала на анализ другого, не менее важного, материала;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владения конструктивной критикой с учётом мнения руководителей, коллег; пользования современной компьютерной и организационной техникой </w:t>
            </w:r>
            <w:r w:rsidR="00AC642E">
              <w:rPr>
                <w:rFonts w:ascii="PT Astra Serif" w:hAnsi="PT Astra Serif"/>
                <w:sz w:val="24"/>
                <w:szCs w:val="24"/>
              </w:rPr>
              <w:t>и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соответствующими программными продуктами; подготовки и редактирования документов на высоком стилистическом уровне; своевременного выявления и разрешения проблемных ситуаций, приводящих к конфликту интересов;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юридико-техническое оформление законопроектов;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умение составлять официальные документы.</w:t>
            </w:r>
          </w:p>
          <w:p w:rsidR="00AC642E" w:rsidRDefault="00AC642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функциональных умений: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разработки, рассмотрения и согласования проектов нормативных правовых актов и других документов;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подготовки официальных отзывов на проекты нормативных правовых актов;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подготовки методических рекомендаций и других материалов;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подготовки отчётов, докладов, тезисов, презентаций и других отчётных материалов;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подготовки аналитических, информационных и других материалов;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проведения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мониторинга принятых нормативных правовых актов и правоприменительной практики;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подготовки ответов на обращения граждан и организаций.</w:t>
            </w:r>
            <w:r w:rsidRPr="00DA2A32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6.Должностные обязанности: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проведение анализа общественно-политической ситуации в муниципальных образованиях Ульяновской области;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организацию и проведение мероприятий с участием Губернатора Ульяновской области, членов Правительства Ульяновской области, органов местного самоуправления муниципальных образований Ульяновской области, направленных на развитие местного самоуправления и межмуниципального сотрудничества на территории Ульяновской области;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проведение анализа полномочий, реализуемых органами местного самоуправления муниципальных образований Ульяновской области;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разработку нормативных правовых актов Ульяновской области по линии административно-территориального устройства Ульяновской области;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разработку проектов законов Ульяновской области, правовых актов Губернатора Ульяновской области и Правительства Ульяновской области в сфере местного самоуправления, межмуниципального сотрудничества;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оказание информационного и консультационного содействия органам местного самоуправления муниципальных образований Ульяновской области по вопросам практической реализации законодательства Российской Федерации и законодательства Ульяновской области в сфере местного самоуправления, межмуниципального сотрудничества и административно-территориального устройства Ульяновской области;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подготовку предложений по совершенствованию практики реализации законодательства в сфере местного самоуправления;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разработку проектов модельных муниципальных правовых актов;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рассмотрение проектов федеральных законов в сфере местного самоуправления;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обеспечивать мониторинг исполнения на территории Ульяновской области законодательства Российской Федерации и законодательства Ульяновской области в сфере местного самоуправления, межмуниципального сотрудничества и административно-территориального устройства Ульяновской области;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организовать оказание методической помощи органам местного самоуправления муниципальных образований Ульяновской области в части совершенствования организационных структур местных администраций;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содействовать в подготовке материалов к рабочим группам, комиссии по законопроектной деятельности Губернатора и Правительства Ульяновской области;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контролировать подготовку проектов нормативных правовых актов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lastRenderedPageBreak/>
              <w:t>и иных документов в сфере деятельности департамента;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вырабатывать предложения по совершенствованию практики реализации федерального законодательства и законодательства Ульяновской области в сфере компетенции департамента;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нести ответственность за подготовку информационных, методических и аналитических материалов, докладов по вопросам, отнесённым к компетенции департамента;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консультировать представителей органов местного самоуправления муниципальных образований Ульяновской области, организаций по вопросам, отнесённым к компетенции департамента; рассматривать обращения граждан и организаций по вопросам, входящим в компетенцию департамента; 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осуществлять наставничество в соответствии с решением представителя нанимателя;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выполняемый объём работы и интенсивность труда (количество разработанных проектов законов и иных нормативных правовых актов, количество проведённых мероприятий, направленных на сотрудничество);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своевременность выполнения поручений и рассмотрения обращений граждан и организаций;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качество выполненной работы (подготовка документов в соответствии </w:t>
            </w:r>
            <w:r w:rsidR="00AC642E">
              <w:rPr>
                <w:rFonts w:ascii="PT Astra Serif" w:hAnsi="PT Astra Serif"/>
                <w:sz w:val="24"/>
                <w:szCs w:val="24"/>
              </w:rPr>
              <w:t>с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AC642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33964,00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  <w:tr w:rsidR="00662B3E" w:rsidRPr="00DA2A32" w:rsidTr="00DA2A32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B3E" w:rsidRPr="00DA2A32" w:rsidRDefault="00662B3E" w:rsidP="00AC642E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Консультант департамента сохранения и учёта объектов культурного наследия управления по охране объектов культурного наследия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Губернатора Ульяновской области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1.Гражданство Российской Федерации 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высшего образования, без предъявления требований к стажу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AC642E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5. Знания и умения: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 Профессиональный уровень: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н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аличие базовых знаний: Государственного языка Российской Федерации (русского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br/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lastRenderedPageBreak/>
              <w:t>языка). Основ Конституции Российской Федерации, законодательства о гражданской службе, законодательства о противодействии коррупции.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="005B6D37" w:rsidRPr="00DA2A32">
              <w:rPr>
                <w:rFonts w:ascii="PT Astra Serif" w:hAnsi="PT Astra Serif"/>
                <w:sz w:val="24"/>
                <w:szCs w:val="24"/>
              </w:rPr>
              <w:t>фишинговые</w:t>
            </w:r>
            <w:proofErr w:type="spellEnd"/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="005B6D37" w:rsidRPr="00DA2A32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 на бумажном носителе, подписанным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lastRenderedPageBreak/>
              <w:t>собственноручной подписью. Основ делопроизводства и документооборота.</w:t>
            </w:r>
          </w:p>
          <w:p w:rsidR="00AC642E" w:rsidRDefault="00AC642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 Наличие профессиональных знаний: В сфере законодательства Российской Федерации: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«Об объектах культурного наследия (памятниках истории и культуры) народов Российской Федерации»); Федерального закона от 27.07.2004 № 79-ФЗ «О государственной гражданской службе Российской Федерации» (далее – Федеральный закон «О государственной гражданской службе Российской Федерации»);</w:t>
            </w:r>
          </w:p>
          <w:p w:rsidR="005B6D37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 Федерального закона от 02.05.2006 № 59-ФЗ «О порядке рассмотрения обращений граждан Российской Федерации» (далее - Федеральный закон «О порядке рассмотрения обращения граждан Российской Федерации»); Федерального закона от 25.12.2008 № 273-ФЗ «О противодействии коррупции»; Федерального закона от 31.07.2020 № 248-ФЗ «О государственном контроле (надзоре) и муниципальном контроле в Российской Федерации»; Федерального закона от 21.12.2021 № 414-ФЗ «Об общих принципах организации публичной власти в субъектах Российской Федерации»; постановления Правительства Российской Федерации от 17.08.2016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Федерации»; постановления Правительства Российской Федерации от 21.04.2018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2A32">
              <w:rPr>
                <w:rFonts w:ascii="PT Astra Serif" w:hAnsi="PT Astra Serif"/>
                <w:sz w:val="24"/>
                <w:szCs w:val="24"/>
              </w:rPr>
              <w:t>№ 482 «О государственной информационной системе «Типовое облачное решение по автоматизации контрольной (надзорной) деятельности».</w:t>
            </w:r>
          </w:p>
          <w:p w:rsidR="00AC642E" w:rsidRPr="00DA2A32" w:rsidRDefault="00AC642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Иные профессиональные знания: Закона Ульяновской области от 29.09.2015 № 120-ЗО «О государственной гражданской службе Ульяновской области»;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области»; постановления Правительства Ульяновской области от 02.07.2009 № 256-П «О границах зон охраны объектов культурного наследия на территории муниципального образования «Город Ульяновск», режимах использования земель и градостроительных регламентах в границах данных зон»; постановления Пра</w:t>
            </w:r>
            <w:r w:rsidR="00AC642E">
              <w:rPr>
                <w:rFonts w:ascii="PT Astra Serif" w:hAnsi="PT Astra Serif"/>
                <w:sz w:val="24"/>
                <w:szCs w:val="24"/>
              </w:rPr>
              <w:t>в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ительства Ульяновской области от 03.08.2020 № 433-П «Об утверждении границ зон охраны объектов культурного наследия, расположенных на территории муниципального образования «город Димитровград», режимов использования земель и требований к градостроительным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регламентам в границах данных зон»; постановления Правительства Ульяновской области от 11.10.2022 № 578-П «Об утверждении Правил согласования проектов вывесок и их размещения на объектах культурного наследия (памятниках истории и культуры) народов Российской Федерации, выявленных объектах культурного наследия (памятниках истории и культуры) народов Российской Федерации и зданиях, находящихся в границах территории достопримечательного места, </w:t>
            </w:r>
            <w:r w:rsidR="00AC642E">
              <w:rPr>
                <w:rFonts w:ascii="PT Astra Serif" w:hAnsi="PT Astra Serif"/>
                <w:sz w:val="24"/>
                <w:szCs w:val="24"/>
              </w:rPr>
              <w:t>р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асположенных на территории Ульяновской области»; распоряжения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 (далее – Положение об управлении); иных нормативных правовых актов  Ульяновской области, </w:t>
            </w:r>
            <w:r w:rsidR="00AC642E">
              <w:rPr>
                <w:rFonts w:ascii="PT Astra Serif" w:hAnsi="PT Astra Serif"/>
                <w:sz w:val="24"/>
                <w:szCs w:val="24"/>
              </w:rPr>
              <w:t>ре</w:t>
            </w:r>
            <w:r w:rsidRPr="00DA2A32">
              <w:rPr>
                <w:rFonts w:ascii="PT Astra Serif" w:hAnsi="PT Astra Serif"/>
                <w:sz w:val="24"/>
                <w:szCs w:val="24"/>
              </w:rPr>
              <w:t>гулирующих соответствующую сферу деятельности применительно к исполнению должностных обязанностей, указанных в должностном регламенте; основных способов сохранения объектов культурного наследия.</w:t>
            </w:r>
          </w:p>
          <w:p w:rsidR="00AC642E" w:rsidRDefault="00AC642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Наличие функциональных знаний: понятия процедуры рассмотрения обращений граждан; понятия нормы права, нормативного правового акта, правоотношений и их </w:t>
            </w:r>
            <w:proofErr w:type="gramStart"/>
            <w:r w:rsidRPr="00DA2A32">
              <w:rPr>
                <w:rFonts w:ascii="PT Astra Serif" w:hAnsi="PT Astra Serif"/>
                <w:sz w:val="24"/>
                <w:szCs w:val="24"/>
              </w:rPr>
              <w:t>признаков;  понятия</w:t>
            </w:r>
            <w:proofErr w:type="gramEnd"/>
            <w:r w:rsidRPr="00DA2A32">
              <w:rPr>
                <w:rFonts w:ascii="PT Astra Serif" w:hAnsi="PT Astra Serif"/>
                <w:sz w:val="24"/>
                <w:szCs w:val="24"/>
              </w:rPr>
              <w:t xml:space="preserve"> проекта нормативного правового акта, инструментов и этапов его разработки; понятия официального отзыва на проекты нормативных правовых актов: этапов, ключевых принципов и технологий разработки; классификации моделей государственной политики; задач, сроков, ресурсов и инструментов государственной политики.</w:t>
            </w:r>
          </w:p>
          <w:p w:rsidR="00AC642E" w:rsidRDefault="00AC642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Наличие базовых умений: умения мыслить системно (стратегически); умения планировать, рационально использовать служебное время и достигать результата; коммуникативных умений; умения управлять изменениями; умений в области информационно-коммуникационных технологий: умения оперативно осуществлять поиск необходимой информации, </w:t>
            </w:r>
            <w:r w:rsidR="00AC642E">
              <w:rPr>
                <w:rFonts w:ascii="PT Astra Serif" w:hAnsi="PT Astra Serif"/>
                <w:sz w:val="24"/>
                <w:szCs w:val="24"/>
              </w:rPr>
              <w:t>в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том числе с использованием информационно-телекоммуникационной сети «Интернет»; умения работать со справочными нормативно-правовыми базами, </w:t>
            </w:r>
            <w:r w:rsidR="00AC642E">
              <w:rPr>
                <w:rFonts w:ascii="PT Astra Serif" w:hAnsi="PT Astra Serif"/>
                <w:sz w:val="24"/>
                <w:szCs w:val="24"/>
              </w:rPr>
              <w:t>а</w:t>
            </w:r>
            <w:r w:rsidRPr="00DA2A32">
              <w:rPr>
                <w:rFonts w:ascii="PT Astra Serif" w:hAnsi="PT Astra Serif"/>
                <w:sz w:val="24"/>
                <w:szCs w:val="24"/>
              </w:rPr>
              <w:t xml:space="preserve"> также государственной системой правовой информации «Официальный интернет-портал правовой информации» (pravo.gov.ru); 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вложениями;) умения работать с текстовыми документами, электронными таблицами и презентациями, включая их создание, редактирование и </w:t>
            </w:r>
            <w:r w:rsidRPr="00DA2A32">
              <w:rPr>
                <w:rFonts w:ascii="PT Astra Serif" w:hAnsi="PT Astra Serif"/>
                <w:sz w:val="24"/>
                <w:szCs w:val="24"/>
              </w:rPr>
              <w:lastRenderedPageBreak/>
              <w:t>форматирование, сохранение и печать; умения работать с общими сетевыми ресурсами (сетевыми дисками, папками).</w:t>
            </w:r>
          </w:p>
          <w:p w:rsidR="00AC642E" w:rsidRDefault="00AC642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AC642E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профессиональных умений: работы в Едином государственном реестре объектов культурного наследия (памятников истории и культуры) народов Российской Федерации; публичного выступления; пользования современной компьютерной и организационной техникой и соответствующими программными продуктами.</w:t>
            </w:r>
          </w:p>
          <w:p w:rsidR="00AC642E" w:rsidRDefault="00AC642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>Наличие функциональных умений: разработки, рассмотрения и согласования проектов нормативных правовых актов и других документов; подготовки официальных отзывов на проекты нормативных правовых актов; подготовки методических рекомендаций, разъяснений; подготовки аналитических, информационных и других материалов; организации и проведения мониторинга применения законодательства.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6.Должностные обязанности: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рассматривать обращения граждан в пределах своей компетенции, принимать по ним необходимые меры и давать в установленном порядке ответы в соответствии с Федеральным законом «О порядке рассмотрения обращения граждан Российской Федерации»; принимать участие в обследовании объектов культурного наследия на предмет их технического состояния при подготовке охранных обязательств собственников объектов культурного наследия (пользователей ими);  готовить соответствующий раздел акта техн</w:t>
            </w:r>
            <w:r w:rsidR="00AC642E">
              <w:rPr>
                <w:rFonts w:ascii="PT Astra Serif" w:hAnsi="PT Astra Serif"/>
                <w:sz w:val="24"/>
                <w:szCs w:val="24"/>
              </w:rPr>
              <w:t>и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ческого состояния памятника истории и культуры, определять план ремонтных работ и благоустройства его территории; организовывать согласование в случаях и порядке, установленных Федеральным законом «Об объектах культурного наследия (памятниках истории и культуры) народов Российской Федерации», проектов зон охраны объектов культурного наследия, землеустроительной, документации, градостроительных регламентов, а также решений органов исполнительной власти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субъектов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Российской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Федерации и органов местного самоуправления </w:t>
            </w:r>
            <w:r w:rsidR="00AC642E">
              <w:rPr>
                <w:rFonts w:ascii="PT Astra Serif" w:hAnsi="PT Astra Serif"/>
                <w:sz w:val="24"/>
                <w:szCs w:val="24"/>
              </w:rPr>
              <w:t>м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униципальных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образований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Ульяновской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области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предоставлении земель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и</w:t>
            </w:r>
            <w:r w:rsidR="00AC64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изменении их правового режима; участвовать в согласовании градостроительной документации, предусматривающей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меры,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обеспечивающие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содержание и использование объектов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культурного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наследия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в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соответствии с требованиями Федерального закона «Об объектах культурного наследия (памятниках истории и культуры) народов Российской Федерации»; по поручению начальника управления или начальника департамента организовывать разработку проектов зон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lastRenderedPageBreak/>
              <w:t>охраны объектов культу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рного наследия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в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с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Положением о зонах охраны объектов культурного наследия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(памятников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истории и культуры) народов Российской Федерации; разрабатывать проекты правовых актов Губернатора Ульяновской области об утверждении границы зон охраны объектов культурного наследия, режима использования земель и градостроительных регламентов в границах данных зон на основании согласованного с органами, предусмотренными законодательством, проекта зон охраны объектов культурного наследия; участвовать в осуществлении контроля за состоянием объектов культурного наследия, расположенных на территории Ульяновской области, за исключением отдельных объектов культурного наследия, включённых в перечень, установленный Правительством Российской Федерации; по поручению начальника управления или начальника департамента участвовать в работе Научно-экспертного Совета по вопросам охраны объектов культурного наследия при Правительстве Ульяновской области в качестве консультанта с совещательным голосом, в работе иных совещательных или консультативных органов;</w:t>
            </w:r>
            <w:r w:rsidR="00CC76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>осуществлять наставничество в соответствии с решением представителя нанимателя;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B6D37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5B6D37" w:rsidRPr="00DA2A32">
              <w:rPr>
                <w:rFonts w:ascii="PT Astra Serif" w:hAnsi="PT Astra Serif"/>
                <w:sz w:val="24"/>
                <w:szCs w:val="24"/>
              </w:rPr>
              <w:t xml:space="preserve">соблюдение трудовой дисциплины; </w:t>
            </w:r>
          </w:p>
          <w:p w:rsidR="005B6D37" w:rsidRPr="00DA2A32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 выполненный объём работы и интенсивность труда;</w:t>
            </w:r>
          </w:p>
          <w:p w:rsidR="005B6D37" w:rsidRPr="00DA2A32" w:rsidRDefault="005B6D37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способность чётко организовывать и планировать выполнение поручений, умение рационально использовать рабочее время.</w:t>
            </w: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62B3E" w:rsidRPr="00DA2A32" w:rsidRDefault="00662B3E" w:rsidP="00CC76D3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A32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24971,90 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DA2A3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A2A32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</w:tbl>
    <w:p w:rsidR="00AF2A0C" w:rsidRPr="00FA2C2D" w:rsidRDefault="00AF2A0C" w:rsidP="00FA4B62">
      <w:pPr>
        <w:spacing w:after="0" w:line="216" w:lineRule="atLeast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CC76D3" w:rsidRPr="00FA2C2D" w:rsidRDefault="00CC76D3" w:rsidP="00CC76D3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15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FA2C2D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FA2C2D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CC76D3" w:rsidRPr="00FA2C2D" w:rsidRDefault="00CC76D3" w:rsidP="00CC76D3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FA2C2D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CC76D3" w:rsidRPr="00FA2C2D" w:rsidRDefault="00CC76D3" w:rsidP="00CC76D3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FA2C2D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CC76D3" w:rsidRPr="00FA2C2D" w:rsidRDefault="00CC76D3" w:rsidP="00CC76D3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FA2C2D">
        <w:rPr>
          <w:rFonts w:ascii="PT Astra Serif" w:hAnsi="PT Astra Serif"/>
        </w:rPr>
        <w:t>- ситуационное интервью (максимальный балл – 4 балла);</w:t>
      </w:r>
    </w:p>
    <w:p w:rsidR="00CC76D3" w:rsidRPr="00FA2C2D" w:rsidRDefault="00CC76D3" w:rsidP="00CC76D3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FA2C2D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CC76D3" w:rsidRPr="00FA2C2D" w:rsidRDefault="00CC76D3" w:rsidP="00CC76D3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FA2C2D">
        <w:rPr>
          <w:rFonts w:ascii="PT Astra Serif" w:hAnsi="PT Astra Serif"/>
        </w:rPr>
        <w:lastRenderedPageBreak/>
        <w:t>- индивидуальное собеседование конкурсной комиссии с кандидатом (максимальный балл – 4 балла).</w:t>
      </w:r>
    </w:p>
    <w:p w:rsidR="00CC76D3" w:rsidRPr="00FA2C2D" w:rsidRDefault="00CC76D3" w:rsidP="00CC76D3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FA2C2D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CC76D3" w:rsidRPr="00FA2C2D" w:rsidRDefault="00CC76D3" w:rsidP="00CC76D3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FA2C2D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2. заполненную в электронном виде и подписанную анкету, с приложением фотографии;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CC76D3" w:rsidRPr="00724CA8" w:rsidRDefault="00CC76D3" w:rsidP="00CC76D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724CA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724CA8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724CA8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724CA8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CC76D3" w:rsidRPr="00724CA8" w:rsidRDefault="00CC76D3" w:rsidP="00CC76D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724CA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724CA8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CC76D3" w:rsidRPr="00FA2C2D" w:rsidRDefault="00CC76D3" w:rsidP="00CC76D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РФ 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и муниципальную службу или ее прохождению (форма N 001-ГС/у);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8.копия ИНН;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FA2C2D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FA2C2D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hAnsi="PT Astra Serif" w:cs="Times New Roman"/>
          <w:sz w:val="24"/>
          <w:szCs w:val="24"/>
        </w:rPr>
        <w:t>10.</w:t>
      </w:r>
      <w:r w:rsidRPr="00FA2C2D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Pr="00724CA8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CC76D3" w:rsidRPr="00FA2C2D" w:rsidRDefault="00CC76D3" w:rsidP="00CC76D3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FA2C2D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04</w:t>
      </w:r>
      <w:r w:rsidRPr="00FA2C2D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03</w:t>
      </w:r>
      <w:r w:rsidRPr="00FA2C2D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FA2C2D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FA2C2D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25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29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C76D3" w:rsidRPr="00FA2C2D" w:rsidRDefault="00CC76D3" w:rsidP="00CC76D3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CC76D3" w:rsidRPr="00FA2C2D" w:rsidRDefault="00CC76D3" w:rsidP="00CC76D3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FA2C2D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FA2C2D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C76D3" w:rsidRPr="00FA2C2D" w:rsidRDefault="00CC76D3" w:rsidP="00CC76D3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FA2C2D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C76D3" w:rsidRPr="00FA2C2D" w:rsidRDefault="00CC76D3" w:rsidP="00CC76D3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CC76D3" w:rsidRPr="00FA2C2D" w:rsidRDefault="00CC76D3" w:rsidP="00CC76D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CC76D3" w:rsidRPr="00FA2C2D" w:rsidRDefault="00CC76D3" w:rsidP="00CC76D3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телефону: (8422), 58-92-31, 58-92-27, (с 11</w:t>
      </w:r>
      <w:r w:rsidRPr="00FA2C2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FA2C2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FA2C2D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CC76D3" w:rsidRPr="00FA2C2D" w:rsidRDefault="00CC76D3" w:rsidP="00CC76D3">
      <w:pPr>
        <w:rPr>
          <w:rFonts w:ascii="PT Astra Serif" w:hAnsi="PT Astra Serif"/>
          <w:sz w:val="24"/>
          <w:szCs w:val="24"/>
        </w:rPr>
      </w:pPr>
    </w:p>
    <w:p w:rsidR="00D1278F" w:rsidRPr="00FA2C2D" w:rsidRDefault="00D1278F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D1278F" w:rsidRPr="00FA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274F"/>
    <w:multiLevelType w:val="hybridMultilevel"/>
    <w:tmpl w:val="09B0E44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8258BB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73C6"/>
    <w:multiLevelType w:val="hybridMultilevel"/>
    <w:tmpl w:val="8AB25D5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179C617E"/>
    <w:multiLevelType w:val="hybridMultilevel"/>
    <w:tmpl w:val="B98A5A2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AF277DC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9C3B3B"/>
    <w:multiLevelType w:val="hybridMultilevel"/>
    <w:tmpl w:val="CEA8BFEC"/>
    <w:lvl w:ilvl="0" w:tplc="4B9ACAEC">
      <w:start w:val="1"/>
      <w:numFmt w:val="decimal"/>
      <w:lvlText w:val="%1)"/>
      <w:lvlJc w:val="left"/>
      <w:pPr>
        <w:ind w:left="1245" w:hanging="325"/>
      </w:pPr>
      <w:rPr>
        <w:rFonts w:ascii="PT Astra Serif" w:eastAsia="Times New Roman" w:hAnsi="PT Astra Serif" w:cs="Times New Roman"/>
        <w:w w:val="103"/>
        <w:sz w:val="27"/>
        <w:szCs w:val="27"/>
        <w:lang w:val="ru-RU" w:eastAsia="en-US" w:bidi="ar-SA"/>
      </w:rPr>
    </w:lvl>
    <w:lvl w:ilvl="1" w:tplc="2E80406A">
      <w:numFmt w:val="bullet"/>
      <w:lvlText w:val="•"/>
      <w:lvlJc w:val="left"/>
      <w:pPr>
        <w:ind w:left="2140" w:hanging="325"/>
      </w:pPr>
      <w:rPr>
        <w:rFonts w:hint="default"/>
        <w:lang w:val="ru-RU" w:eastAsia="en-US" w:bidi="ar-SA"/>
      </w:rPr>
    </w:lvl>
    <w:lvl w:ilvl="2" w:tplc="A12EFA9C">
      <w:numFmt w:val="bullet"/>
      <w:lvlText w:val="•"/>
      <w:lvlJc w:val="left"/>
      <w:pPr>
        <w:ind w:left="3040" w:hanging="325"/>
      </w:pPr>
      <w:rPr>
        <w:rFonts w:hint="default"/>
        <w:lang w:val="ru-RU" w:eastAsia="en-US" w:bidi="ar-SA"/>
      </w:rPr>
    </w:lvl>
    <w:lvl w:ilvl="3" w:tplc="F836CB50">
      <w:numFmt w:val="bullet"/>
      <w:lvlText w:val="•"/>
      <w:lvlJc w:val="left"/>
      <w:pPr>
        <w:ind w:left="3940" w:hanging="325"/>
      </w:pPr>
      <w:rPr>
        <w:rFonts w:hint="default"/>
        <w:lang w:val="ru-RU" w:eastAsia="en-US" w:bidi="ar-SA"/>
      </w:rPr>
    </w:lvl>
    <w:lvl w:ilvl="4" w:tplc="4300AFBE">
      <w:numFmt w:val="bullet"/>
      <w:lvlText w:val="•"/>
      <w:lvlJc w:val="left"/>
      <w:pPr>
        <w:ind w:left="4840" w:hanging="325"/>
      </w:pPr>
      <w:rPr>
        <w:rFonts w:hint="default"/>
        <w:lang w:val="ru-RU" w:eastAsia="en-US" w:bidi="ar-SA"/>
      </w:rPr>
    </w:lvl>
    <w:lvl w:ilvl="5" w:tplc="8BC488C0">
      <w:numFmt w:val="bullet"/>
      <w:lvlText w:val="•"/>
      <w:lvlJc w:val="left"/>
      <w:pPr>
        <w:ind w:left="5740" w:hanging="325"/>
      </w:pPr>
      <w:rPr>
        <w:rFonts w:hint="default"/>
        <w:lang w:val="ru-RU" w:eastAsia="en-US" w:bidi="ar-SA"/>
      </w:rPr>
    </w:lvl>
    <w:lvl w:ilvl="6" w:tplc="D7CC5018">
      <w:numFmt w:val="bullet"/>
      <w:lvlText w:val="•"/>
      <w:lvlJc w:val="left"/>
      <w:pPr>
        <w:ind w:left="6640" w:hanging="325"/>
      </w:pPr>
      <w:rPr>
        <w:rFonts w:hint="default"/>
        <w:lang w:val="ru-RU" w:eastAsia="en-US" w:bidi="ar-SA"/>
      </w:rPr>
    </w:lvl>
    <w:lvl w:ilvl="7" w:tplc="3858E68E">
      <w:numFmt w:val="bullet"/>
      <w:lvlText w:val="•"/>
      <w:lvlJc w:val="left"/>
      <w:pPr>
        <w:ind w:left="7540" w:hanging="325"/>
      </w:pPr>
      <w:rPr>
        <w:rFonts w:hint="default"/>
        <w:lang w:val="ru-RU" w:eastAsia="en-US" w:bidi="ar-SA"/>
      </w:rPr>
    </w:lvl>
    <w:lvl w:ilvl="8" w:tplc="806E58B8">
      <w:numFmt w:val="bullet"/>
      <w:lvlText w:val="•"/>
      <w:lvlJc w:val="left"/>
      <w:pPr>
        <w:ind w:left="8440" w:hanging="325"/>
      </w:pPr>
      <w:rPr>
        <w:rFonts w:hint="default"/>
        <w:lang w:val="ru-RU" w:eastAsia="en-US" w:bidi="ar-SA"/>
      </w:rPr>
    </w:lvl>
  </w:abstractNum>
  <w:abstractNum w:abstractNumId="6" w15:restartNumberingAfterBreak="0">
    <w:nsid w:val="22472937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DB7168"/>
    <w:multiLevelType w:val="hybridMultilevel"/>
    <w:tmpl w:val="F67EF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3F5C"/>
    <w:multiLevelType w:val="hybridMultilevel"/>
    <w:tmpl w:val="7E98E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32089"/>
    <w:multiLevelType w:val="hybridMultilevel"/>
    <w:tmpl w:val="C158D04E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2FE176EE"/>
    <w:multiLevelType w:val="hybridMultilevel"/>
    <w:tmpl w:val="C9B22FBE"/>
    <w:lvl w:ilvl="0" w:tplc="FFFFFFFF">
      <w:start w:val="1"/>
      <w:numFmt w:val="decimal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2343501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3A16DF"/>
    <w:multiLevelType w:val="hybridMultilevel"/>
    <w:tmpl w:val="1C44C53C"/>
    <w:lvl w:ilvl="0" w:tplc="0C903A62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8276BFB"/>
    <w:multiLevelType w:val="hybridMultilevel"/>
    <w:tmpl w:val="499A04F2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B6E5AA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61F0D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B2126"/>
    <w:multiLevelType w:val="hybridMultilevel"/>
    <w:tmpl w:val="A79CBF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3A1BD0"/>
    <w:multiLevelType w:val="hybridMultilevel"/>
    <w:tmpl w:val="481E0B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58257EF"/>
    <w:multiLevelType w:val="hybridMultilevel"/>
    <w:tmpl w:val="4DE0F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3A0E"/>
    <w:multiLevelType w:val="hybridMultilevel"/>
    <w:tmpl w:val="3AB6B3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7F00094"/>
    <w:multiLevelType w:val="hybridMultilevel"/>
    <w:tmpl w:val="5086B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212BD60">
      <w:start w:val="1"/>
      <w:numFmt w:val="decimal"/>
      <w:lvlText w:val="%2)"/>
      <w:lvlJc w:val="left"/>
      <w:pPr>
        <w:ind w:left="3338" w:hanging="360"/>
      </w:pPr>
      <w:rPr>
        <w:rFonts w:ascii="PT Astra Serif" w:eastAsia="Times New Roman" w:hAnsi="PT Astra Serif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2109E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8A2252"/>
    <w:multiLevelType w:val="hybridMultilevel"/>
    <w:tmpl w:val="D79069DA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03CF9"/>
    <w:multiLevelType w:val="hybridMultilevel"/>
    <w:tmpl w:val="B3FA01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4E3190"/>
    <w:multiLevelType w:val="hybridMultilevel"/>
    <w:tmpl w:val="1E8AD5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325E68"/>
    <w:multiLevelType w:val="hybridMultilevel"/>
    <w:tmpl w:val="274CDADC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A3523B"/>
    <w:multiLevelType w:val="hybridMultilevel"/>
    <w:tmpl w:val="C9B22FBE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8DC63F0"/>
    <w:multiLevelType w:val="hybridMultilevel"/>
    <w:tmpl w:val="59185A40"/>
    <w:lvl w:ilvl="0" w:tplc="04190011">
      <w:start w:val="1"/>
      <w:numFmt w:val="decimal"/>
      <w:lvlText w:val="%1)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2"/>
  </w:num>
  <w:num w:numId="5">
    <w:abstractNumId w:val="21"/>
  </w:num>
  <w:num w:numId="6">
    <w:abstractNumId w:val="14"/>
  </w:num>
  <w:num w:numId="7">
    <w:abstractNumId w:val="1"/>
  </w:num>
  <w:num w:numId="8">
    <w:abstractNumId w:val="7"/>
  </w:num>
  <w:num w:numId="9">
    <w:abstractNumId w:val="13"/>
  </w:num>
  <w:num w:numId="10">
    <w:abstractNumId w:val="23"/>
  </w:num>
  <w:num w:numId="11">
    <w:abstractNumId w:val="25"/>
  </w:num>
  <w:num w:numId="12">
    <w:abstractNumId w:val="26"/>
  </w:num>
  <w:num w:numId="13">
    <w:abstractNumId w:val="10"/>
  </w:num>
  <w:num w:numId="14">
    <w:abstractNumId w:val="8"/>
  </w:num>
  <w:num w:numId="15">
    <w:abstractNumId w:val="27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  <w:num w:numId="20">
    <w:abstractNumId w:val="12"/>
  </w:num>
  <w:num w:numId="21">
    <w:abstractNumId w:val="18"/>
  </w:num>
  <w:num w:numId="22">
    <w:abstractNumId w:val="6"/>
  </w:num>
  <w:num w:numId="23">
    <w:abstractNumId w:val="11"/>
  </w:num>
  <w:num w:numId="24">
    <w:abstractNumId w:val="2"/>
  </w:num>
  <w:num w:numId="25">
    <w:abstractNumId w:val="0"/>
  </w:num>
  <w:num w:numId="26">
    <w:abstractNumId w:val="20"/>
  </w:num>
  <w:num w:numId="27">
    <w:abstractNumId w:val="4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3ADC"/>
    <w:rsid w:val="00007860"/>
    <w:rsid w:val="000230C1"/>
    <w:rsid w:val="000248F4"/>
    <w:rsid w:val="00073AE8"/>
    <w:rsid w:val="00096222"/>
    <w:rsid w:val="000A4AB0"/>
    <w:rsid w:val="000B4C81"/>
    <w:rsid w:val="000B50FA"/>
    <w:rsid w:val="000E4871"/>
    <w:rsid w:val="00136B55"/>
    <w:rsid w:val="001401BF"/>
    <w:rsid w:val="0014525F"/>
    <w:rsid w:val="00151CE1"/>
    <w:rsid w:val="00152C7F"/>
    <w:rsid w:val="0019597A"/>
    <w:rsid w:val="001961A2"/>
    <w:rsid w:val="00200B91"/>
    <w:rsid w:val="00207088"/>
    <w:rsid w:val="00236FC0"/>
    <w:rsid w:val="00241613"/>
    <w:rsid w:val="00243F51"/>
    <w:rsid w:val="00255942"/>
    <w:rsid w:val="00263ECB"/>
    <w:rsid w:val="0026521B"/>
    <w:rsid w:val="002748DE"/>
    <w:rsid w:val="002B0F89"/>
    <w:rsid w:val="002D3963"/>
    <w:rsid w:val="002D6DD3"/>
    <w:rsid w:val="002E532B"/>
    <w:rsid w:val="002E5FC0"/>
    <w:rsid w:val="00313806"/>
    <w:rsid w:val="0032380F"/>
    <w:rsid w:val="0032383B"/>
    <w:rsid w:val="00327867"/>
    <w:rsid w:val="00356F1E"/>
    <w:rsid w:val="003718FA"/>
    <w:rsid w:val="00381500"/>
    <w:rsid w:val="0038258F"/>
    <w:rsid w:val="0039548B"/>
    <w:rsid w:val="003C605E"/>
    <w:rsid w:val="003D4E61"/>
    <w:rsid w:val="003E2BD3"/>
    <w:rsid w:val="003F2A73"/>
    <w:rsid w:val="00404C08"/>
    <w:rsid w:val="00417425"/>
    <w:rsid w:val="004734FE"/>
    <w:rsid w:val="00475803"/>
    <w:rsid w:val="00485132"/>
    <w:rsid w:val="00495569"/>
    <w:rsid w:val="004B7AB5"/>
    <w:rsid w:val="004C30F7"/>
    <w:rsid w:val="00500527"/>
    <w:rsid w:val="0055124E"/>
    <w:rsid w:val="00557241"/>
    <w:rsid w:val="00557D99"/>
    <w:rsid w:val="00563813"/>
    <w:rsid w:val="00587E2E"/>
    <w:rsid w:val="00596D86"/>
    <w:rsid w:val="00597935"/>
    <w:rsid w:val="005B6D37"/>
    <w:rsid w:val="005C2DC5"/>
    <w:rsid w:val="005C4CE4"/>
    <w:rsid w:val="005D5FD4"/>
    <w:rsid w:val="005D622B"/>
    <w:rsid w:val="005E1A73"/>
    <w:rsid w:val="006040AC"/>
    <w:rsid w:val="006061F6"/>
    <w:rsid w:val="00610491"/>
    <w:rsid w:val="00631B2E"/>
    <w:rsid w:val="0066030C"/>
    <w:rsid w:val="00662B3E"/>
    <w:rsid w:val="006A6E51"/>
    <w:rsid w:val="006D3340"/>
    <w:rsid w:val="007203E3"/>
    <w:rsid w:val="00734EC1"/>
    <w:rsid w:val="00747A74"/>
    <w:rsid w:val="007545BA"/>
    <w:rsid w:val="00755888"/>
    <w:rsid w:val="00764BC6"/>
    <w:rsid w:val="0077089E"/>
    <w:rsid w:val="00772F19"/>
    <w:rsid w:val="00774CA5"/>
    <w:rsid w:val="007B6951"/>
    <w:rsid w:val="007D1018"/>
    <w:rsid w:val="007E5814"/>
    <w:rsid w:val="00863595"/>
    <w:rsid w:val="008827FB"/>
    <w:rsid w:val="008B6A11"/>
    <w:rsid w:val="008D25E2"/>
    <w:rsid w:val="008D76F5"/>
    <w:rsid w:val="008D7FF3"/>
    <w:rsid w:val="00916E4B"/>
    <w:rsid w:val="00922741"/>
    <w:rsid w:val="00944840"/>
    <w:rsid w:val="00977C14"/>
    <w:rsid w:val="009955E2"/>
    <w:rsid w:val="009A3EB0"/>
    <w:rsid w:val="009B4BB5"/>
    <w:rsid w:val="00A03584"/>
    <w:rsid w:val="00A1659C"/>
    <w:rsid w:val="00A35494"/>
    <w:rsid w:val="00A45DCC"/>
    <w:rsid w:val="00A56AFE"/>
    <w:rsid w:val="00A72CCA"/>
    <w:rsid w:val="00A862BF"/>
    <w:rsid w:val="00AB5126"/>
    <w:rsid w:val="00AC642E"/>
    <w:rsid w:val="00AE1A0C"/>
    <w:rsid w:val="00AF2A0C"/>
    <w:rsid w:val="00AF3A36"/>
    <w:rsid w:val="00B0011C"/>
    <w:rsid w:val="00B20A49"/>
    <w:rsid w:val="00B337ED"/>
    <w:rsid w:val="00B62C6B"/>
    <w:rsid w:val="00B7237D"/>
    <w:rsid w:val="00B81C25"/>
    <w:rsid w:val="00B90F5F"/>
    <w:rsid w:val="00BA64DC"/>
    <w:rsid w:val="00BC11E2"/>
    <w:rsid w:val="00BD26B0"/>
    <w:rsid w:val="00BF33DB"/>
    <w:rsid w:val="00C032EB"/>
    <w:rsid w:val="00C2671B"/>
    <w:rsid w:val="00C311DE"/>
    <w:rsid w:val="00C406BC"/>
    <w:rsid w:val="00C42D81"/>
    <w:rsid w:val="00C5131C"/>
    <w:rsid w:val="00C52079"/>
    <w:rsid w:val="00C535F5"/>
    <w:rsid w:val="00C83D50"/>
    <w:rsid w:val="00C84EE6"/>
    <w:rsid w:val="00C915AA"/>
    <w:rsid w:val="00CA44F8"/>
    <w:rsid w:val="00CC76D3"/>
    <w:rsid w:val="00CD0C29"/>
    <w:rsid w:val="00CD0F9F"/>
    <w:rsid w:val="00CE5EB4"/>
    <w:rsid w:val="00CF1F82"/>
    <w:rsid w:val="00D04DE3"/>
    <w:rsid w:val="00D0535E"/>
    <w:rsid w:val="00D1278F"/>
    <w:rsid w:val="00D2148C"/>
    <w:rsid w:val="00D2191B"/>
    <w:rsid w:val="00D52008"/>
    <w:rsid w:val="00DA1CEB"/>
    <w:rsid w:val="00DA2A32"/>
    <w:rsid w:val="00DB2550"/>
    <w:rsid w:val="00DF25DA"/>
    <w:rsid w:val="00E5359E"/>
    <w:rsid w:val="00E7316A"/>
    <w:rsid w:val="00F01072"/>
    <w:rsid w:val="00F0307D"/>
    <w:rsid w:val="00F04F2F"/>
    <w:rsid w:val="00F31185"/>
    <w:rsid w:val="00F45763"/>
    <w:rsid w:val="00F55E1C"/>
    <w:rsid w:val="00F71249"/>
    <w:rsid w:val="00F8097C"/>
    <w:rsid w:val="00F87594"/>
    <w:rsid w:val="00FA2C2D"/>
    <w:rsid w:val="00FA4B62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uiPriority w:val="1"/>
    <w:qFormat/>
    <w:rsid w:val="00BA64DC"/>
    <w:pPr>
      <w:spacing w:after="0" w:line="240" w:lineRule="auto"/>
    </w:pPr>
  </w:style>
  <w:style w:type="paragraph" w:styleId="ad">
    <w:name w:val="List Paragraph"/>
    <w:basedOn w:val="a"/>
    <w:link w:val="ae"/>
    <w:uiPriority w:val="1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e">
    <w:name w:val="Абзац списка Знак"/>
    <w:link w:val="ad"/>
    <w:uiPriority w:val="99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0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1">
    <w:name w:val="Body Text"/>
    <w:basedOn w:val="a"/>
    <w:link w:val="af2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D2191B"/>
    <w:pPr>
      <w:ind w:left="720"/>
    </w:pPr>
    <w:rPr>
      <w:rFonts w:ascii="Calibri" w:eastAsia="Times New Roman" w:hAnsi="Calibri" w:cs="Times New Roman"/>
    </w:rPr>
  </w:style>
  <w:style w:type="paragraph" w:customStyle="1" w:styleId="14">
    <w:name w:val="Знак Знак1"/>
    <w:basedOn w:val="a"/>
    <w:rsid w:val="003815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3815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DA1CE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1CEB"/>
    <w:pPr>
      <w:widowControl w:val="0"/>
      <w:shd w:val="clear" w:color="auto" w:fill="FFFFFF"/>
      <w:spacing w:after="0" w:line="250" w:lineRule="exact"/>
      <w:jc w:val="both"/>
    </w:pPr>
    <w:rPr>
      <w:sz w:val="28"/>
      <w:szCs w:val="28"/>
    </w:rPr>
  </w:style>
  <w:style w:type="paragraph" w:customStyle="1" w:styleId="Standard">
    <w:name w:val="Standard"/>
    <w:rsid w:val="002E532B"/>
    <w:pPr>
      <w:spacing w:after="160" w:line="259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 Знак"/>
    <w:link w:val="ConsPlusNormal0"/>
    <w:locked/>
    <w:rsid w:val="005B6D37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EF1D-1185-45D8-8C15-3717F48F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28</Pages>
  <Words>9997</Words>
  <Characters>56984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36</cp:revision>
  <cp:lastPrinted>2016-09-19T10:37:00Z</cp:lastPrinted>
  <dcterms:created xsi:type="dcterms:W3CDTF">2022-05-26T07:21:00Z</dcterms:created>
  <dcterms:modified xsi:type="dcterms:W3CDTF">2024-02-13T12:03:00Z</dcterms:modified>
</cp:coreProperties>
</file>