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УТВЕРЖДАЮ</w:t>
      </w:r>
    </w:p>
    <w:p w:rsidR="00DE2DB4" w:rsidRPr="005629F1" w:rsidRDefault="00DE2DB4" w:rsidP="005629F1">
      <w:pPr>
        <w:ind w:left="5103"/>
        <w:rPr>
          <w:rFonts w:ascii="PT Astra Serif" w:hAnsi="PT Astra Serif"/>
          <w:bCs/>
          <w:sz w:val="28"/>
          <w:szCs w:val="28"/>
        </w:rPr>
      </w:pPr>
    </w:p>
    <w:p w:rsidR="003C5111" w:rsidRPr="005629F1" w:rsidRDefault="005B74A1" w:rsidP="005629F1">
      <w:pPr>
        <w:ind w:left="5103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Исполняющий обязанности </w:t>
      </w:r>
      <w:r w:rsidR="003C5111" w:rsidRPr="005629F1">
        <w:rPr>
          <w:rFonts w:ascii="PT Astra Serif" w:hAnsi="PT Astra Serif"/>
          <w:bCs/>
          <w:sz w:val="28"/>
          <w:szCs w:val="28"/>
        </w:rPr>
        <w:t>Председател</w:t>
      </w:r>
      <w:r>
        <w:rPr>
          <w:rFonts w:ascii="PT Astra Serif" w:hAnsi="PT Astra Serif"/>
          <w:bCs/>
          <w:sz w:val="28"/>
          <w:szCs w:val="28"/>
        </w:rPr>
        <w:t>я</w:t>
      </w:r>
      <w:r w:rsidR="003C5111" w:rsidRPr="005629F1">
        <w:rPr>
          <w:rFonts w:ascii="PT Astra Serif" w:hAnsi="PT Astra Serif"/>
          <w:bCs/>
          <w:sz w:val="28"/>
          <w:szCs w:val="28"/>
        </w:rPr>
        <w:t xml:space="preserve"> Правительства </w:t>
      </w:r>
    </w:p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</w:p>
    <w:p w:rsidR="00DE2DB4" w:rsidRPr="005629F1" w:rsidRDefault="003C5111" w:rsidP="005B74A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______________</w:t>
      </w:r>
      <w:r w:rsidR="00DE2DB4" w:rsidRPr="005629F1">
        <w:rPr>
          <w:rFonts w:ascii="PT Astra Serif" w:hAnsi="PT Astra Serif"/>
          <w:bCs/>
          <w:sz w:val="28"/>
          <w:szCs w:val="28"/>
        </w:rPr>
        <w:t xml:space="preserve">____ </w:t>
      </w:r>
      <w:proofErr w:type="spellStart"/>
      <w:r w:rsidR="005B74A1">
        <w:rPr>
          <w:rFonts w:ascii="PT Astra Serif" w:hAnsi="PT Astra Serif"/>
          <w:bCs/>
          <w:sz w:val="28"/>
          <w:szCs w:val="28"/>
        </w:rPr>
        <w:t>М</w:t>
      </w:r>
      <w:r w:rsidRPr="005629F1">
        <w:rPr>
          <w:rFonts w:ascii="PT Astra Serif" w:hAnsi="PT Astra Serif"/>
          <w:bCs/>
          <w:sz w:val="28"/>
          <w:szCs w:val="28"/>
        </w:rPr>
        <w:t>.</w:t>
      </w:r>
      <w:r w:rsidR="005B74A1">
        <w:rPr>
          <w:rFonts w:ascii="PT Astra Serif" w:hAnsi="PT Astra Serif"/>
          <w:bCs/>
          <w:sz w:val="28"/>
          <w:szCs w:val="28"/>
        </w:rPr>
        <w:t>Е</w:t>
      </w:r>
      <w:r w:rsidRPr="005629F1">
        <w:rPr>
          <w:rFonts w:ascii="PT Astra Serif" w:hAnsi="PT Astra Serif"/>
          <w:bCs/>
          <w:sz w:val="28"/>
          <w:szCs w:val="28"/>
        </w:rPr>
        <w:t>.</w:t>
      </w:r>
      <w:r w:rsidR="005B74A1">
        <w:rPr>
          <w:rFonts w:ascii="PT Astra Serif" w:hAnsi="PT Astra Serif"/>
          <w:bCs/>
          <w:sz w:val="28"/>
          <w:szCs w:val="28"/>
        </w:rPr>
        <w:t>Алексеева</w:t>
      </w:r>
      <w:bookmarkStart w:id="0" w:name="_GoBack"/>
      <w:bookmarkEnd w:id="0"/>
      <w:proofErr w:type="spellEnd"/>
    </w:p>
    <w:p w:rsidR="007114A0" w:rsidRPr="005629F1" w:rsidRDefault="003D2467" w:rsidP="005629F1">
      <w:pPr>
        <w:ind w:left="5103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_____  __________________ 20</w:t>
      </w:r>
      <w:r w:rsidR="00057EF2" w:rsidRPr="005629F1">
        <w:rPr>
          <w:rFonts w:ascii="PT Astra Serif" w:hAnsi="PT Astra Serif"/>
          <w:bCs/>
          <w:sz w:val="28"/>
          <w:szCs w:val="28"/>
        </w:rPr>
        <w:t>2</w:t>
      </w:r>
      <w:r w:rsidR="002F2BCC">
        <w:rPr>
          <w:rFonts w:ascii="PT Astra Serif" w:hAnsi="PT Astra Serif"/>
          <w:bCs/>
          <w:sz w:val="28"/>
          <w:szCs w:val="28"/>
        </w:rPr>
        <w:t>4</w:t>
      </w:r>
      <w:r w:rsidRPr="005629F1">
        <w:rPr>
          <w:rFonts w:ascii="PT Astra Serif" w:hAnsi="PT Astra Serif"/>
          <w:bCs/>
          <w:sz w:val="28"/>
          <w:szCs w:val="28"/>
        </w:rPr>
        <w:t xml:space="preserve"> г</w:t>
      </w:r>
      <w:r w:rsidR="007114A0" w:rsidRPr="005629F1">
        <w:rPr>
          <w:rFonts w:ascii="PT Astra Serif" w:hAnsi="PT Astra Serif"/>
          <w:sz w:val="28"/>
          <w:szCs w:val="28"/>
        </w:rPr>
        <w:t>.</w:t>
      </w:r>
    </w:p>
    <w:p w:rsidR="007114A0" w:rsidRPr="005629F1" w:rsidRDefault="007114A0" w:rsidP="005629F1">
      <w:pPr>
        <w:rPr>
          <w:rFonts w:ascii="PT Astra Serif" w:hAnsi="PT Astra Serif"/>
        </w:rPr>
      </w:pPr>
    </w:p>
    <w:p w:rsidR="007114A0" w:rsidRPr="005629F1" w:rsidRDefault="007114A0" w:rsidP="005629F1">
      <w:pPr>
        <w:rPr>
          <w:rFonts w:ascii="PT Astra Serif" w:hAnsi="PT Astra Serif"/>
        </w:rPr>
      </w:pPr>
    </w:p>
    <w:p w:rsidR="00DB7D8C" w:rsidRPr="005629F1" w:rsidRDefault="00EF5A47" w:rsidP="005629F1">
      <w:pPr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ДОКЛАД</w:t>
      </w:r>
      <w:r w:rsidRPr="005629F1">
        <w:rPr>
          <w:rFonts w:ascii="PT Astra Serif" w:hAnsi="PT Astra Serif"/>
          <w:b/>
          <w:sz w:val="28"/>
          <w:szCs w:val="28"/>
        </w:rPr>
        <w:br/>
      </w:r>
      <w:r w:rsidR="006C0252" w:rsidRPr="005629F1">
        <w:rPr>
          <w:rFonts w:ascii="PT Astra Serif" w:hAnsi="PT Astra Serif"/>
          <w:b/>
          <w:sz w:val="28"/>
          <w:szCs w:val="28"/>
        </w:rPr>
        <w:t>о состоянии энергосбережения и повышении энергетической</w:t>
      </w:r>
    </w:p>
    <w:p w:rsidR="006C0252" w:rsidRPr="005629F1" w:rsidRDefault="006C0252" w:rsidP="005629F1">
      <w:pPr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эффективности в Ульяновской области</w:t>
      </w:r>
      <w:r w:rsidR="00C73C29" w:rsidRPr="005629F1">
        <w:rPr>
          <w:rFonts w:ascii="PT Astra Serif" w:hAnsi="PT Astra Serif"/>
          <w:b/>
          <w:sz w:val="28"/>
          <w:szCs w:val="28"/>
        </w:rPr>
        <w:t xml:space="preserve"> по итогам 20</w:t>
      </w:r>
      <w:r w:rsidR="00901814" w:rsidRPr="005629F1">
        <w:rPr>
          <w:rFonts w:ascii="PT Astra Serif" w:hAnsi="PT Astra Serif"/>
          <w:b/>
          <w:sz w:val="28"/>
          <w:szCs w:val="28"/>
        </w:rPr>
        <w:t>2</w:t>
      </w:r>
      <w:r w:rsidR="002F2BCC">
        <w:rPr>
          <w:rFonts w:ascii="PT Astra Serif" w:hAnsi="PT Astra Serif"/>
          <w:b/>
          <w:sz w:val="28"/>
          <w:szCs w:val="28"/>
        </w:rPr>
        <w:t>3</w:t>
      </w:r>
      <w:r w:rsidR="00C73C29" w:rsidRPr="005629F1">
        <w:rPr>
          <w:rFonts w:ascii="PT Astra Serif" w:hAnsi="PT Astra Serif"/>
          <w:b/>
          <w:sz w:val="28"/>
          <w:szCs w:val="28"/>
        </w:rPr>
        <w:t xml:space="preserve"> года</w:t>
      </w:r>
    </w:p>
    <w:p w:rsidR="00EF5A47" w:rsidRDefault="00EF5A47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6E4803" w:rsidRPr="005629F1" w:rsidRDefault="00D57505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 Введение</w:t>
      </w:r>
    </w:p>
    <w:p w:rsidR="005629F1" w:rsidRPr="005629F1" w:rsidRDefault="005629F1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C470D6" w:rsidRPr="005629F1" w:rsidRDefault="00C470D6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1.1. Общие сведе</w:t>
      </w:r>
      <w:r w:rsidR="00D57505" w:rsidRPr="005629F1">
        <w:rPr>
          <w:rFonts w:ascii="PT Astra Serif" w:hAnsi="PT Astra Serif"/>
          <w:b/>
          <w:sz w:val="28"/>
          <w:szCs w:val="28"/>
        </w:rPr>
        <w:t>ния о докладе</w:t>
      </w:r>
    </w:p>
    <w:p w:rsidR="005629F1" w:rsidRPr="005629F1" w:rsidRDefault="005629F1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60628" w:rsidRPr="005629F1" w:rsidRDefault="00960628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В соответствии Порядком подготовки и распространения ежегодного доклада о состоянии энергосбережения и повышении энергетической эффективности в Ульяновской области</w:t>
      </w:r>
      <w:r w:rsidR="007F68D1">
        <w:rPr>
          <w:rFonts w:ascii="PT Astra Serif" w:hAnsi="PT Astra Serif"/>
          <w:sz w:val="28"/>
          <w:szCs w:val="28"/>
        </w:rPr>
        <w:t>, утверждённым</w:t>
      </w:r>
      <w:r w:rsidR="007F68D1" w:rsidRPr="005629F1">
        <w:rPr>
          <w:rFonts w:ascii="PT Astra Serif" w:hAnsi="PT Astra Serif"/>
          <w:sz w:val="28"/>
          <w:szCs w:val="28"/>
        </w:rPr>
        <w:t xml:space="preserve"> постановлением Пра</w:t>
      </w:r>
      <w:r w:rsidR="007F68D1"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 w:rsidR="007F68D1" w:rsidRPr="005629F1">
        <w:rPr>
          <w:rFonts w:ascii="PT Astra Serif" w:hAnsi="PT Astra Serif"/>
          <w:sz w:val="28"/>
          <w:szCs w:val="28"/>
        </w:rPr>
        <w:t>от 22.05.2015 №</w:t>
      </w:r>
      <w:r w:rsidR="007F68D1" w:rsidRPr="005629F1">
        <w:rPr>
          <w:rFonts w:ascii="PT Astra Serif" w:hAnsi="PT Astra Serif"/>
          <w:sz w:val="28"/>
          <w:szCs w:val="28"/>
          <w:lang w:val="en-US"/>
        </w:rPr>
        <w:t> </w:t>
      </w:r>
      <w:r w:rsidR="007F68D1" w:rsidRPr="005629F1">
        <w:rPr>
          <w:rFonts w:ascii="PT Astra Serif" w:hAnsi="PT Astra Serif"/>
          <w:sz w:val="28"/>
          <w:szCs w:val="28"/>
        </w:rPr>
        <w:t xml:space="preserve">227-П «Об </w:t>
      </w:r>
      <w:r w:rsidR="007F68D1">
        <w:rPr>
          <w:rFonts w:ascii="PT Astra Serif" w:hAnsi="PT Astra Serif"/>
          <w:sz w:val="28"/>
          <w:szCs w:val="28"/>
        </w:rPr>
        <w:t xml:space="preserve">утверждении Порядка подготовки </w:t>
      </w:r>
      <w:r w:rsidR="007F68D1" w:rsidRPr="005629F1">
        <w:rPr>
          <w:rFonts w:ascii="PT Astra Serif" w:hAnsi="PT Astra Serif"/>
          <w:sz w:val="28"/>
          <w:szCs w:val="28"/>
        </w:rPr>
        <w:t>и распространения ежегодного доклад</w:t>
      </w:r>
      <w:r w:rsidR="007F68D1">
        <w:rPr>
          <w:rFonts w:ascii="PT Astra Serif" w:hAnsi="PT Astra Serif"/>
          <w:sz w:val="28"/>
          <w:szCs w:val="28"/>
        </w:rPr>
        <w:t xml:space="preserve">а о состоянии энергосбережения </w:t>
      </w:r>
      <w:r w:rsidR="007F68D1" w:rsidRPr="005629F1">
        <w:rPr>
          <w:rFonts w:ascii="PT Astra Serif" w:hAnsi="PT Astra Serif"/>
          <w:sz w:val="28"/>
          <w:szCs w:val="28"/>
        </w:rPr>
        <w:t>и повышении энергетической эффективности в Ульяновской области»</w:t>
      </w:r>
      <w:r w:rsidR="007F68D1">
        <w:rPr>
          <w:rFonts w:ascii="PT Astra Serif" w:hAnsi="PT Astra Serif"/>
          <w:sz w:val="28"/>
          <w:szCs w:val="28"/>
        </w:rPr>
        <w:t>,</w:t>
      </w:r>
      <w:r w:rsidR="007F68D1" w:rsidRPr="005629F1">
        <w:rPr>
          <w:rFonts w:ascii="PT Astra Serif" w:hAnsi="PT Astra Serif"/>
          <w:sz w:val="28"/>
          <w:szCs w:val="28"/>
        </w:rPr>
        <w:t xml:space="preserve"> </w:t>
      </w:r>
      <w:r w:rsidRPr="005629F1">
        <w:rPr>
          <w:rFonts w:ascii="PT Astra Serif" w:hAnsi="PT Astra Serif"/>
          <w:sz w:val="28"/>
          <w:szCs w:val="28"/>
        </w:rPr>
        <w:t xml:space="preserve">Министерство жилищно-коммунального </w:t>
      </w:r>
      <w:r w:rsidR="00000EDA" w:rsidRPr="005629F1">
        <w:rPr>
          <w:rFonts w:ascii="PT Astra Serif" w:hAnsi="PT Astra Serif"/>
          <w:sz w:val="28"/>
          <w:szCs w:val="28"/>
        </w:rPr>
        <w:t>хозяйства</w:t>
      </w:r>
      <w:r w:rsidRPr="005629F1">
        <w:rPr>
          <w:rFonts w:ascii="PT Astra Serif" w:hAnsi="PT Astra Serif"/>
          <w:sz w:val="28"/>
          <w:szCs w:val="28"/>
        </w:rPr>
        <w:t xml:space="preserve"> и </w:t>
      </w:r>
      <w:r w:rsidR="00000EDA" w:rsidRPr="005629F1">
        <w:rPr>
          <w:rFonts w:ascii="PT Astra Serif" w:hAnsi="PT Astra Serif"/>
          <w:sz w:val="28"/>
          <w:szCs w:val="28"/>
        </w:rPr>
        <w:t>строительства</w:t>
      </w:r>
      <w:r w:rsidRPr="005629F1">
        <w:rPr>
          <w:rFonts w:ascii="PT Astra Serif" w:hAnsi="PT Astra Serif"/>
          <w:sz w:val="28"/>
          <w:szCs w:val="28"/>
        </w:rPr>
        <w:t xml:space="preserve"> Ульяновской области (далее – Министерство</w:t>
      </w:r>
      <w:r w:rsidR="009C38AB" w:rsidRPr="005629F1">
        <w:rPr>
          <w:rFonts w:ascii="PT Astra Serif" w:hAnsi="PT Astra Serif"/>
          <w:sz w:val="28"/>
          <w:szCs w:val="28"/>
        </w:rPr>
        <w:t>) на ежегодной основе подготавливает государственный доклад</w:t>
      </w:r>
      <w:r w:rsidR="009E72B9" w:rsidRPr="005629F1">
        <w:rPr>
          <w:rFonts w:ascii="PT Astra Serif" w:hAnsi="PT Astra Serif"/>
          <w:sz w:val="28"/>
          <w:szCs w:val="28"/>
        </w:rPr>
        <w:t xml:space="preserve"> о состоянии энергосбережения </w:t>
      </w:r>
      <w:r w:rsidR="00C0043F">
        <w:rPr>
          <w:rFonts w:ascii="PT Astra Serif" w:hAnsi="PT Astra Serif"/>
          <w:sz w:val="28"/>
          <w:szCs w:val="28"/>
        </w:rPr>
        <w:br/>
      </w:r>
      <w:r w:rsidR="009E72B9" w:rsidRPr="005629F1">
        <w:rPr>
          <w:rFonts w:ascii="PT Astra Serif" w:hAnsi="PT Astra Serif"/>
          <w:sz w:val="28"/>
          <w:szCs w:val="28"/>
        </w:rPr>
        <w:t xml:space="preserve">и </w:t>
      </w:r>
      <w:r w:rsidR="009C38AB" w:rsidRPr="005629F1">
        <w:rPr>
          <w:rFonts w:ascii="PT Astra Serif" w:hAnsi="PT Astra Serif"/>
          <w:sz w:val="28"/>
          <w:szCs w:val="28"/>
        </w:rPr>
        <w:t>повышении энергетической эффективности в Ульяновской области (далее – доклад)</w:t>
      </w:r>
      <w:r w:rsidR="00D72BE3" w:rsidRPr="005629F1">
        <w:rPr>
          <w:rFonts w:ascii="PT Astra Serif" w:hAnsi="PT Astra Serif"/>
          <w:sz w:val="28"/>
          <w:szCs w:val="28"/>
        </w:rPr>
        <w:t>.</w:t>
      </w:r>
    </w:p>
    <w:p w:rsidR="006A356B" w:rsidRPr="005629F1" w:rsidRDefault="006A356B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Доклад является инструментом мониторинга и оценки эффективности реализации государственной политики в области энергосбережения и повышения энергетической эффективности на всех уровнях государственного управления Ульяновской области.</w:t>
      </w:r>
    </w:p>
    <w:p w:rsidR="005629F1" w:rsidRPr="005629F1" w:rsidRDefault="005629F1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991CEA" w:rsidRPr="005629F1" w:rsidRDefault="00C470D6" w:rsidP="005629F1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1.2.</w:t>
      </w:r>
      <w:r w:rsidR="00F71207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991CEA" w:rsidRPr="005629F1">
        <w:rPr>
          <w:rFonts w:ascii="PT Astra Serif" w:hAnsi="PT Astra Serif"/>
          <w:b/>
          <w:sz w:val="28"/>
          <w:szCs w:val="28"/>
        </w:rPr>
        <w:t xml:space="preserve">Индекс промышленного производства в Ульяновской области </w:t>
      </w:r>
    </w:p>
    <w:p w:rsidR="005629F1" w:rsidRPr="005629F1" w:rsidRDefault="005629F1" w:rsidP="005629F1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71207" w:rsidRPr="005629F1" w:rsidRDefault="00F71207" w:rsidP="005629F1">
      <w:pPr>
        <w:pStyle w:val="3"/>
        <w:shd w:val="clear" w:color="auto" w:fill="FFFFFF" w:themeFill="background1"/>
        <w:tabs>
          <w:tab w:val="left" w:pos="851"/>
        </w:tabs>
        <w:spacing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629F1">
        <w:rPr>
          <w:rFonts w:ascii="PT Astra Serif" w:hAnsi="PT Astra Serif"/>
          <w:sz w:val="28"/>
          <w:szCs w:val="28"/>
          <w:lang w:eastAsia="ru-RU"/>
        </w:rPr>
        <w:t xml:space="preserve">Ульяновская область является индустриально-аграрной территорией </w:t>
      </w:r>
      <w:r w:rsidR="00175DB1" w:rsidRPr="005629F1">
        <w:rPr>
          <w:rFonts w:ascii="PT Astra Serif" w:hAnsi="PT Astra Serif"/>
          <w:sz w:val="28"/>
          <w:szCs w:val="28"/>
          <w:lang w:eastAsia="ru-RU"/>
        </w:rPr>
        <w:br/>
      </w:r>
      <w:r w:rsidR="007C37F7" w:rsidRPr="005629F1">
        <w:rPr>
          <w:rFonts w:ascii="PT Astra Serif" w:hAnsi="PT Astra Serif"/>
          <w:sz w:val="28"/>
          <w:szCs w:val="28"/>
          <w:lang w:eastAsia="ru-RU"/>
        </w:rPr>
        <w:t>с</w:t>
      </w:r>
      <w:r w:rsidRPr="005629F1">
        <w:rPr>
          <w:rFonts w:ascii="PT Astra Serif" w:hAnsi="PT Astra Serif"/>
          <w:sz w:val="28"/>
          <w:szCs w:val="28"/>
          <w:lang w:eastAsia="ru-RU"/>
        </w:rPr>
        <w:t xml:space="preserve"> многоотраслевой промышленностью. Ядром промышленности является машиностроение, представленное приборостроением, станкостроением, автомобилестроением, авиастроением, развиты также текстильная и пищевая отрасли промышленности. Работают предприятия строительной, деревообрабатывающей и лесной индустрии. Области принадлежит одно </w:t>
      </w:r>
      <w:r w:rsidR="00175DB1" w:rsidRPr="005629F1">
        <w:rPr>
          <w:rFonts w:ascii="PT Astra Serif" w:hAnsi="PT Astra Serif"/>
          <w:sz w:val="28"/>
          <w:szCs w:val="28"/>
          <w:lang w:eastAsia="ru-RU"/>
        </w:rPr>
        <w:br/>
      </w:r>
      <w:r w:rsidRPr="005629F1">
        <w:rPr>
          <w:rFonts w:ascii="PT Astra Serif" w:hAnsi="PT Astra Serif"/>
          <w:sz w:val="28"/>
          <w:szCs w:val="28"/>
          <w:lang w:eastAsia="ru-RU"/>
        </w:rPr>
        <w:t>из ведущих мест в производстве автомобилей и самолётов, металлорежущих станков, сложных приборов и средств автоматизации производства, моторов, трикотажа и других видов продукции.</w:t>
      </w:r>
    </w:p>
    <w:p w:rsidR="00EC3A34" w:rsidRPr="005629F1" w:rsidRDefault="00582B74" w:rsidP="005629F1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2023</w:t>
      </w:r>
      <w:r w:rsidR="00EC3A34" w:rsidRPr="005629F1">
        <w:rPr>
          <w:rFonts w:ascii="PT Astra Serif" w:hAnsi="PT Astra Serif"/>
          <w:sz w:val="28"/>
          <w:szCs w:val="28"/>
        </w:rPr>
        <w:t xml:space="preserve"> года индекс промышленного производства </w:t>
      </w:r>
      <w:r w:rsidR="0006684C" w:rsidRPr="005629F1">
        <w:rPr>
          <w:rFonts w:ascii="PT Astra Serif" w:hAnsi="PT Astra Serif"/>
          <w:sz w:val="28"/>
          <w:szCs w:val="28"/>
        </w:rPr>
        <w:br/>
      </w:r>
      <w:r w:rsidR="00EC3A34" w:rsidRPr="005629F1">
        <w:rPr>
          <w:rFonts w:ascii="PT Astra Serif" w:hAnsi="PT Astra Serif"/>
          <w:sz w:val="28"/>
          <w:szCs w:val="28"/>
        </w:rPr>
        <w:lastRenderedPageBreak/>
        <w:t xml:space="preserve">в </w:t>
      </w:r>
      <w:r>
        <w:rPr>
          <w:rFonts w:ascii="PT Astra Serif" w:hAnsi="PT Astra Serif"/>
          <w:sz w:val="28"/>
          <w:szCs w:val="28"/>
        </w:rPr>
        <w:t>Ульяновской области составил 111,9</w:t>
      </w:r>
      <w:r w:rsidR="00EC3A34" w:rsidRPr="005629F1">
        <w:rPr>
          <w:rFonts w:ascii="PT Astra Serif" w:hAnsi="PT Astra Serif"/>
          <w:sz w:val="28"/>
          <w:szCs w:val="28"/>
        </w:rPr>
        <w:t>% относительно предыдущего года.</w:t>
      </w:r>
    </w:p>
    <w:p w:rsidR="00582B74" w:rsidRPr="00582B74" w:rsidRDefault="00582B74" w:rsidP="00582B74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582B74">
        <w:rPr>
          <w:rFonts w:ascii="PT Astra Serif" w:hAnsi="PT Astra Serif"/>
          <w:sz w:val="28"/>
          <w:szCs w:val="28"/>
        </w:rPr>
        <w:t xml:space="preserve">Индекс промышленного производства по виду экономической деятельности «Обеспечение электрической энергией, газом и паром; кондиционирование воздуха» по полному кругу организаций производителей за январь-декабрь 2023 года к соответствующему периоду 2022 года составил 101,6%, что ниже на 0,7% аналогичного индекса по ПФО, который составляет 102,3% и выше на 1,4% аналогичного индекса по Российской Федерации, который составляет 100,2%. </w:t>
      </w:r>
    </w:p>
    <w:p w:rsidR="00582B74" w:rsidRPr="00582B74" w:rsidRDefault="00582B74" w:rsidP="00582B74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582B74">
        <w:rPr>
          <w:rFonts w:ascii="PT Astra Serif" w:hAnsi="PT Astra Serif"/>
          <w:sz w:val="28"/>
          <w:szCs w:val="28"/>
        </w:rPr>
        <w:t xml:space="preserve">Положительную динамику индекс промышленного производства по виду экономической деятельности «Обеспечение электрической энергией, газом </w:t>
      </w:r>
      <w:r>
        <w:rPr>
          <w:rFonts w:ascii="PT Astra Serif" w:hAnsi="PT Astra Serif"/>
          <w:sz w:val="28"/>
          <w:szCs w:val="28"/>
        </w:rPr>
        <w:br/>
      </w:r>
      <w:r w:rsidRPr="00582B74">
        <w:rPr>
          <w:rFonts w:ascii="PT Astra Serif" w:hAnsi="PT Astra Serif"/>
          <w:sz w:val="28"/>
          <w:szCs w:val="28"/>
        </w:rPr>
        <w:t>и паром; кондиционирование воздуха» достиг</w:t>
      </w:r>
      <w:r>
        <w:rPr>
          <w:rFonts w:ascii="PT Astra Serif" w:hAnsi="PT Astra Serif"/>
          <w:sz w:val="28"/>
          <w:szCs w:val="28"/>
        </w:rPr>
        <w:t xml:space="preserve"> за счё</w:t>
      </w:r>
      <w:r w:rsidRPr="00582B74">
        <w:rPr>
          <w:rFonts w:ascii="PT Astra Serif" w:hAnsi="PT Astra Serif"/>
          <w:sz w:val="28"/>
          <w:szCs w:val="28"/>
        </w:rPr>
        <w:t>т следующего показателя:</w:t>
      </w:r>
    </w:p>
    <w:p w:rsidR="00582B74" w:rsidRPr="00582B74" w:rsidRDefault="00582B74" w:rsidP="00582B74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582B74">
        <w:rPr>
          <w:rFonts w:ascii="PT Astra Serif" w:hAnsi="PT Astra Serif"/>
          <w:sz w:val="28"/>
          <w:szCs w:val="28"/>
        </w:rPr>
        <w:t xml:space="preserve">роизводство, передача и распределение электроэнергии» – 103,8% </w:t>
      </w:r>
      <w:r>
        <w:rPr>
          <w:rFonts w:ascii="PT Astra Serif" w:hAnsi="PT Astra Serif"/>
          <w:sz w:val="28"/>
          <w:szCs w:val="28"/>
        </w:rPr>
        <w:br/>
      </w:r>
      <w:r w:rsidRPr="00582B74">
        <w:rPr>
          <w:rFonts w:ascii="PT Astra Serif" w:hAnsi="PT Astra Serif"/>
          <w:sz w:val="28"/>
          <w:szCs w:val="28"/>
        </w:rPr>
        <w:t>к соответствующему периоду 2022 г</w:t>
      </w:r>
      <w:r>
        <w:rPr>
          <w:rFonts w:ascii="PT Astra Serif" w:hAnsi="PT Astra Serif"/>
          <w:sz w:val="28"/>
          <w:szCs w:val="28"/>
        </w:rPr>
        <w:t>ода, при котором показатель объё</w:t>
      </w:r>
      <w:r w:rsidRPr="00582B74">
        <w:rPr>
          <w:rFonts w:ascii="PT Astra Serif" w:hAnsi="PT Astra Serif"/>
          <w:sz w:val="28"/>
          <w:szCs w:val="28"/>
        </w:rPr>
        <w:t>ма производства электроэнергии составил – 2790,9</w:t>
      </w:r>
      <w:r>
        <w:rPr>
          <w:rFonts w:ascii="PT Astra Serif" w:hAnsi="PT Astra Serif"/>
          <w:sz w:val="28"/>
          <w:szCs w:val="28"/>
        </w:rPr>
        <w:t xml:space="preserve"> млн. кВт*</w:t>
      </w:r>
      <w:r w:rsidRPr="00582B74">
        <w:rPr>
          <w:rFonts w:ascii="PT Astra Serif" w:hAnsi="PT Astra Serif"/>
          <w:sz w:val="28"/>
          <w:szCs w:val="28"/>
        </w:rPr>
        <w:t>час или 103,9%, а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582B74">
        <w:rPr>
          <w:rFonts w:ascii="PT Astra Serif" w:hAnsi="PT Astra Serif"/>
          <w:sz w:val="28"/>
          <w:szCs w:val="28"/>
        </w:rPr>
        <w:t>ма оказанных услуг по передаче и распределению электроэнергии – 20887,3 мл</w:t>
      </w:r>
      <w:r>
        <w:rPr>
          <w:rFonts w:ascii="PT Astra Serif" w:hAnsi="PT Astra Serif"/>
          <w:sz w:val="28"/>
          <w:szCs w:val="28"/>
        </w:rPr>
        <w:t xml:space="preserve">н </w:t>
      </w:r>
      <w:r w:rsidRPr="00582B74">
        <w:rPr>
          <w:rFonts w:ascii="PT Astra Serif" w:hAnsi="PT Astra Serif"/>
          <w:sz w:val="28"/>
          <w:szCs w:val="28"/>
        </w:rPr>
        <w:t>руб. или 110,6% к соо</w:t>
      </w:r>
      <w:r>
        <w:rPr>
          <w:rFonts w:ascii="PT Astra Serif" w:hAnsi="PT Astra Serif"/>
          <w:sz w:val="28"/>
          <w:szCs w:val="28"/>
        </w:rPr>
        <w:t xml:space="preserve">тветствующему периоду 2022 года. </w:t>
      </w:r>
    </w:p>
    <w:p w:rsidR="00582B74" w:rsidRPr="00582B74" w:rsidRDefault="00582B74" w:rsidP="00582B74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582B74">
        <w:rPr>
          <w:rFonts w:ascii="PT Astra Serif" w:hAnsi="PT Astra Serif"/>
          <w:sz w:val="28"/>
          <w:szCs w:val="28"/>
        </w:rPr>
        <w:t xml:space="preserve">Индекс промышленного производства по виду экономической деятельности «Водоснабжение; водоотведение, организация сбора и утилизация отходов, деятельность по ликвидации загрязнений» по полному кругу организаций производителей за январь-декабрь 2023 года к соответствующему периоду 2022 года составил 79,5%, что ниже аналогичного индекса по ПФО </w:t>
      </w:r>
      <w:r>
        <w:rPr>
          <w:rFonts w:ascii="PT Astra Serif" w:hAnsi="PT Astra Serif"/>
          <w:sz w:val="28"/>
          <w:szCs w:val="28"/>
        </w:rPr>
        <w:br/>
      </w:r>
      <w:r w:rsidRPr="00582B74">
        <w:rPr>
          <w:rFonts w:ascii="PT Astra Serif" w:hAnsi="PT Astra Serif"/>
          <w:sz w:val="28"/>
          <w:szCs w:val="28"/>
        </w:rPr>
        <w:t xml:space="preserve">на 17,5%, который составляет 97,0% и ниже аналогичного индекса </w:t>
      </w:r>
      <w:r>
        <w:rPr>
          <w:rFonts w:ascii="PT Astra Serif" w:hAnsi="PT Astra Serif"/>
          <w:sz w:val="28"/>
          <w:szCs w:val="28"/>
        </w:rPr>
        <w:br/>
      </w:r>
      <w:r w:rsidRPr="00582B74">
        <w:rPr>
          <w:rFonts w:ascii="PT Astra Serif" w:hAnsi="PT Astra Serif"/>
          <w:sz w:val="28"/>
          <w:szCs w:val="28"/>
        </w:rPr>
        <w:t>по Российской Федерации на 18,0%, который составляет 97,5%.</w:t>
      </w:r>
    </w:p>
    <w:p w:rsidR="00582B74" w:rsidRDefault="00582B74" w:rsidP="00582B74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582B74">
        <w:rPr>
          <w:rFonts w:ascii="PT Astra Serif" w:hAnsi="PT Astra Serif"/>
          <w:sz w:val="28"/>
          <w:szCs w:val="28"/>
        </w:rPr>
        <w:t xml:space="preserve">На отрицательную динамику индекса промышленного производства </w:t>
      </w:r>
      <w:r>
        <w:rPr>
          <w:rFonts w:ascii="PT Astra Serif" w:hAnsi="PT Astra Serif"/>
          <w:sz w:val="28"/>
          <w:szCs w:val="28"/>
        </w:rPr>
        <w:br/>
      </w:r>
      <w:r w:rsidRPr="00582B74">
        <w:rPr>
          <w:rFonts w:ascii="PT Astra Serif" w:hAnsi="PT Astra Serif"/>
          <w:sz w:val="28"/>
          <w:szCs w:val="28"/>
        </w:rPr>
        <w:t>по виду экономической деятельности «Водоснабжение; водоотведение, организация сбора и утилизация отходов, деятельность по ликвидации загрязнений» повлияло снижение темпов роста включающие индексы:</w:t>
      </w:r>
    </w:p>
    <w:p w:rsidR="00DB34B6" w:rsidRDefault="00582B74" w:rsidP="00DB34B6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</w:t>
      </w:r>
      <w:r w:rsidRPr="00582B74">
        <w:rPr>
          <w:rFonts w:ascii="PT Astra Serif" w:hAnsi="PT Astra Serif"/>
          <w:sz w:val="28"/>
          <w:szCs w:val="28"/>
        </w:rPr>
        <w:t>абор, очистка и распределение воды – 97,3% к соответствующему периоду 2022 года (динамика рос</w:t>
      </w:r>
      <w:r w:rsidR="00DB34B6">
        <w:rPr>
          <w:rFonts w:ascii="PT Astra Serif" w:hAnsi="PT Astra Serif"/>
          <w:sz w:val="28"/>
          <w:szCs w:val="28"/>
        </w:rPr>
        <w:t>та в сравнении с предыдущим отчё</w:t>
      </w:r>
      <w:r w:rsidRPr="00582B74">
        <w:rPr>
          <w:rFonts w:ascii="PT Astra Serif" w:hAnsi="PT Astra Serif"/>
          <w:sz w:val="28"/>
          <w:szCs w:val="28"/>
        </w:rPr>
        <w:t xml:space="preserve">тным периодом, за </w:t>
      </w:r>
      <w:r w:rsidR="00140941">
        <w:rPr>
          <w:rFonts w:ascii="PT Astra Serif" w:hAnsi="PT Astra Serif"/>
          <w:sz w:val="28"/>
          <w:szCs w:val="28"/>
        </w:rPr>
        <w:t>январь-ноябрь составила</w:t>
      </w:r>
      <w:r w:rsidR="00DB34B6">
        <w:rPr>
          <w:rFonts w:ascii="PT Astra Serif" w:hAnsi="PT Astra Serif"/>
          <w:sz w:val="28"/>
          <w:szCs w:val="28"/>
        </w:rPr>
        <w:t xml:space="preserve"> 95,5%);</w:t>
      </w:r>
    </w:p>
    <w:p w:rsidR="00582B74" w:rsidRPr="00582B74" w:rsidRDefault="00DB34B6" w:rsidP="00DB34B6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</w:t>
      </w:r>
      <w:r w:rsidR="00582B74" w:rsidRPr="00582B74">
        <w:rPr>
          <w:rFonts w:ascii="PT Astra Serif" w:hAnsi="PT Astra Serif"/>
          <w:sz w:val="28"/>
          <w:szCs w:val="28"/>
        </w:rPr>
        <w:t xml:space="preserve">бор, обработка и утилизация отходов; обработка вторичного сырья – 67,4% к соответствующему периоду прошлого года (динамика роста </w:t>
      </w:r>
      <w:r>
        <w:rPr>
          <w:rFonts w:ascii="PT Astra Serif" w:hAnsi="PT Astra Serif"/>
          <w:sz w:val="28"/>
          <w:szCs w:val="28"/>
        </w:rPr>
        <w:t xml:space="preserve">в сравнении </w:t>
      </w:r>
      <w:r w:rsidR="00C0043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предыдущим отчё</w:t>
      </w:r>
      <w:r w:rsidR="00582B74" w:rsidRPr="00582B74">
        <w:rPr>
          <w:rFonts w:ascii="PT Astra Serif" w:hAnsi="PT Astra Serif"/>
          <w:sz w:val="28"/>
          <w:szCs w:val="28"/>
        </w:rPr>
        <w:t>тным пери</w:t>
      </w:r>
      <w:r w:rsidR="00140941">
        <w:rPr>
          <w:rFonts w:ascii="PT Astra Serif" w:hAnsi="PT Astra Serif"/>
          <w:sz w:val="28"/>
          <w:szCs w:val="28"/>
        </w:rPr>
        <w:t>одом, за январь-ноябрь составила</w:t>
      </w:r>
      <w:r w:rsidR="00582B74" w:rsidRPr="00582B74">
        <w:rPr>
          <w:rFonts w:ascii="PT Astra Serif" w:hAnsi="PT Astra Serif"/>
          <w:sz w:val="28"/>
          <w:szCs w:val="28"/>
        </w:rPr>
        <w:t xml:space="preserve"> 65,8%). </w:t>
      </w:r>
    </w:p>
    <w:p w:rsidR="00146F4C" w:rsidRPr="005629F1" w:rsidRDefault="00146F4C" w:rsidP="005629F1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</w:p>
    <w:p w:rsidR="00146F4C" w:rsidRPr="005629F1" w:rsidRDefault="007F68D1" w:rsidP="005629F1">
      <w:pPr>
        <w:pStyle w:val="a3"/>
        <w:widowControl/>
        <w:numPr>
          <w:ilvl w:val="1"/>
          <w:numId w:val="39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 об энергоё</w:t>
      </w:r>
      <w:r w:rsidR="00146F4C" w:rsidRPr="005629F1">
        <w:rPr>
          <w:rFonts w:ascii="PT Astra Serif" w:hAnsi="PT Astra Serif"/>
          <w:b/>
          <w:sz w:val="28"/>
          <w:szCs w:val="28"/>
        </w:rPr>
        <w:t xml:space="preserve">мкости </w:t>
      </w:r>
      <w:r w:rsidR="004258A6" w:rsidRPr="005629F1">
        <w:rPr>
          <w:rFonts w:ascii="PT Astra Serif" w:hAnsi="PT Astra Serif"/>
          <w:b/>
          <w:sz w:val="28"/>
          <w:szCs w:val="28"/>
        </w:rPr>
        <w:t xml:space="preserve">валового регионального продукта </w:t>
      </w:r>
      <w:r w:rsidR="00146F4C" w:rsidRPr="005629F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6F4C" w:rsidRPr="005629F1" w:rsidRDefault="00146F4C" w:rsidP="005629F1">
      <w:pPr>
        <w:pStyle w:val="a3"/>
        <w:widowControl/>
        <w:ind w:left="1571"/>
        <w:rPr>
          <w:rFonts w:ascii="PT Astra Serif" w:hAnsi="PT Astra Serif"/>
          <w:sz w:val="28"/>
          <w:szCs w:val="28"/>
        </w:rPr>
      </w:pPr>
    </w:p>
    <w:p w:rsidR="00146F4C" w:rsidRPr="005629F1" w:rsidRDefault="007F68D1" w:rsidP="005629F1">
      <w:pPr>
        <w:pStyle w:val="a3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мкость валового регионального продукта (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ВРП) – это показатель, который отражает, сколько энергии необходимо для производства единицы ВРП и показывает, как эффективно используется энергия в экономике региона.</w:t>
      </w:r>
    </w:p>
    <w:p w:rsidR="00146F4C" w:rsidRPr="005629F1" w:rsidRDefault="007F68D1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Высокий уровень 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мкости ВРП означает, что регион потребляет много энергии для производства своей продукции, что может привести </w:t>
      </w:r>
      <w:r w:rsidR="00DB34B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к увеличению затрат на энергию и снижению конкурентоспособности. Низкий уровень энерго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мкости, напротив, свидетельствует о более эффективном использовании энергии и снижении затрат на производство.</w:t>
      </w:r>
    </w:p>
    <w:p w:rsidR="00146F4C" w:rsidRPr="005629F1" w:rsidRDefault="007F68D1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Для снижения 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мкости экономики необходимо внедрять 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энергоэффективные технологии, улучшать эффективность использования энергии, а также стимулировать переход на возобновляемые источники энергии.</w:t>
      </w:r>
    </w:p>
    <w:p w:rsidR="002271C4" w:rsidRDefault="00146F4C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>Показател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энергоемкости ВРП Ульяновской области по данным официальной статистическо</w:t>
      </w:r>
      <w:r w:rsidR="00DB34B6">
        <w:rPr>
          <w:rFonts w:ascii="PT Astra Serif" w:eastAsia="Times New Roman" w:hAnsi="PT Astra Serif"/>
          <w:sz w:val="28"/>
          <w:szCs w:val="28"/>
          <w:lang w:eastAsia="ru-RU"/>
        </w:rPr>
        <w:t>й информации за период 2012-2022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годов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 xml:space="preserve"> приведе</w:t>
      </w:r>
      <w:r w:rsidR="005629F1" w:rsidRPr="005629F1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5629F1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в таблице</w:t>
      </w:r>
      <w:r w:rsidR="002271C4">
        <w:rPr>
          <w:rFonts w:ascii="PT Astra Serif" w:eastAsia="Times New Roman" w:hAnsi="PT Astra Serif"/>
          <w:sz w:val="28"/>
          <w:szCs w:val="28"/>
          <w:lang w:eastAsia="ru-RU"/>
        </w:rPr>
        <w:t xml:space="preserve"> 1.</w:t>
      </w:r>
    </w:p>
    <w:p w:rsidR="007A272E" w:rsidRDefault="007A272E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271C4" w:rsidRDefault="002271C4" w:rsidP="002271C4">
      <w:pPr>
        <w:ind w:firstLine="709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Таблица 1</w:t>
      </w:r>
    </w:p>
    <w:p w:rsidR="002271C4" w:rsidRPr="005629F1" w:rsidRDefault="002271C4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964"/>
      </w:tblGrid>
      <w:tr w:rsidR="00140941" w:rsidRPr="005629F1" w:rsidTr="00140941">
        <w:trPr>
          <w:trHeight w:val="70"/>
          <w:jc w:val="center"/>
        </w:trPr>
        <w:tc>
          <w:tcPr>
            <w:tcW w:w="1824" w:type="dxa"/>
            <w:vMerge w:val="restart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629F1">
              <w:rPr>
                <w:rFonts w:ascii="PT Astra Serif" w:hAnsi="PT Astra Serif"/>
                <w:b/>
                <w:lang w:eastAsia="ru-RU"/>
              </w:rPr>
              <w:t>Год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629F1">
              <w:rPr>
                <w:rFonts w:ascii="PT Astra Serif" w:hAnsi="PT Astra Serif"/>
                <w:b/>
                <w:lang w:eastAsia="ru-RU"/>
              </w:rPr>
              <w:t>В текущих ценах</w:t>
            </w:r>
          </w:p>
        </w:tc>
      </w:tr>
      <w:tr w:rsidR="00140941" w:rsidRPr="005629F1" w:rsidTr="00140941">
        <w:trPr>
          <w:trHeight w:val="454"/>
          <w:jc w:val="center"/>
        </w:trPr>
        <w:tc>
          <w:tcPr>
            <w:tcW w:w="1824" w:type="dxa"/>
            <w:vMerge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964" w:type="dxa"/>
            <w:vAlign w:val="center"/>
          </w:tcPr>
          <w:p w:rsidR="00140941" w:rsidRPr="005629F1" w:rsidRDefault="00140941" w:rsidP="0014094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кг условного топлива / </w:t>
            </w:r>
            <w:r w:rsidRPr="005629F1">
              <w:rPr>
                <w:rFonts w:ascii="PT Astra Serif" w:hAnsi="PT Astra Serif"/>
                <w:b/>
                <w:lang w:eastAsia="ru-RU"/>
              </w:rPr>
              <w:t>на 10 тыс.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5629F1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2012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209,58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2013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190,82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2014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175,65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2015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159,48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2016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139,84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2017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132,47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2018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134,82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118,73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110,49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97,74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shd w:val="clear" w:color="auto" w:fill="auto"/>
            <w:vAlign w:val="center"/>
          </w:tcPr>
          <w:p w:rsidR="00140941" w:rsidRPr="0014094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140941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140941" w:rsidRPr="0014094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140941">
              <w:rPr>
                <w:rFonts w:ascii="PT Astra Serif" w:hAnsi="PT Astra Serif"/>
                <w:lang w:eastAsia="ru-RU"/>
              </w:rPr>
              <w:t>71,2</w:t>
            </w:r>
          </w:p>
        </w:tc>
      </w:tr>
    </w:tbl>
    <w:p w:rsidR="002271C4" w:rsidRDefault="002271C4" w:rsidP="005629F1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left="709" w:firstLine="0"/>
        <w:jc w:val="both"/>
        <w:rPr>
          <w:rFonts w:ascii="PT Astra Serif" w:hAnsi="PT Astra Serif"/>
          <w:b/>
          <w:sz w:val="28"/>
          <w:szCs w:val="28"/>
        </w:rPr>
      </w:pPr>
    </w:p>
    <w:p w:rsidR="00EF5A47" w:rsidRDefault="00EF5A47" w:rsidP="00EF5A47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="00937E0E" w:rsidRPr="007A272E">
        <w:rPr>
          <w:rFonts w:ascii="PT Astra Serif" w:hAnsi="PT Astra Serif"/>
          <w:b/>
          <w:sz w:val="28"/>
          <w:szCs w:val="28"/>
        </w:rPr>
        <w:t xml:space="preserve">Мониторинг состояния энергосбережения и повышения </w:t>
      </w:r>
    </w:p>
    <w:p w:rsidR="002271C4" w:rsidRPr="007A272E" w:rsidRDefault="00937E0E" w:rsidP="00EF5A47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7A272E">
        <w:rPr>
          <w:rFonts w:ascii="PT Astra Serif" w:hAnsi="PT Astra Serif"/>
          <w:b/>
          <w:sz w:val="28"/>
          <w:szCs w:val="28"/>
        </w:rPr>
        <w:t xml:space="preserve">энергетической эффективности </w:t>
      </w:r>
      <w:r w:rsidR="00C37106" w:rsidRPr="007A272E">
        <w:rPr>
          <w:rFonts w:ascii="PT Astra Serif" w:hAnsi="PT Astra Serif"/>
          <w:b/>
          <w:sz w:val="28"/>
          <w:szCs w:val="28"/>
        </w:rPr>
        <w:t>в Ульяновской области</w:t>
      </w:r>
    </w:p>
    <w:p w:rsidR="007A0510" w:rsidRPr="002271C4" w:rsidRDefault="007A0510" w:rsidP="002271C4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left="709" w:firstLine="0"/>
        <w:jc w:val="both"/>
        <w:rPr>
          <w:rFonts w:ascii="PT Astra Serif" w:hAnsi="PT Astra Serif"/>
          <w:b/>
          <w:sz w:val="28"/>
          <w:szCs w:val="28"/>
        </w:rPr>
      </w:pPr>
    </w:p>
    <w:p w:rsidR="001978CD" w:rsidRDefault="00442729" w:rsidP="005629F1">
      <w:pPr>
        <w:tabs>
          <w:tab w:val="left" w:pos="284"/>
          <w:tab w:val="left" w:pos="567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2.1.</w:t>
      </w:r>
      <w:r w:rsidR="00E845E7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2F4E8B" w:rsidRPr="005629F1">
        <w:rPr>
          <w:rFonts w:ascii="PT Astra Serif" w:hAnsi="PT Astra Serif"/>
          <w:b/>
          <w:sz w:val="28"/>
          <w:szCs w:val="28"/>
        </w:rPr>
        <w:t>Р</w:t>
      </w:r>
      <w:r w:rsidR="00EC0DE0" w:rsidRPr="005629F1">
        <w:rPr>
          <w:rFonts w:ascii="PT Astra Serif" w:hAnsi="PT Astra Serif"/>
          <w:b/>
          <w:sz w:val="28"/>
          <w:szCs w:val="28"/>
        </w:rPr>
        <w:t>еализаци</w:t>
      </w:r>
      <w:r w:rsidR="002F4E8B" w:rsidRPr="005629F1">
        <w:rPr>
          <w:rFonts w:ascii="PT Astra Serif" w:hAnsi="PT Astra Serif"/>
          <w:b/>
          <w:sz w:val="28"/>
          <w:szCs w:val="28"/>
        </w:rPr>
        <w:t>я</w:t>
      </w:r>
      <w:r w:rsidR="00EC0DE0" w:rsidRPr="005629F1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</w:t>
      </w:r>
      <w:r w:rsidR="001978CD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352CA4" w:rsidRPr="005629F1">
        <w:rPr>
          <w:rFonts w:ascii="PT Astra Serif" w:hAnsi="PT Astra Serif"/>
          <w:b/>
          <w:sz w:val="28"/>
          <w:szCs w:val="28"/>
        </w:rPr>
        <w:t>«</w:t>
      </w:r>
      <w:r w:rsidR="00EC0DE0" w:rsidRPr="005629F1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в Ульяновской области</w:t>
      </w:r>
      <w:r w:rsidR="00352CA4" w:rsidRPr="005629F1">
        <w:rPr>
          <w:rFonts w:ascii="PT Astra Serif" w:hAnsi="PT Astra Serif"/>
          <w:b/>
          <w:sz w:val="28"/>
          <w:szCs w:val="28"/>
        </w:rPr>
        <w:t>»</w:t>
      </w:r>
      <w:r w:rsidR="006F1C4F">
        <w:rPr>
          <w:rFonts w:ascii="PT Astra Serif" w:hAnsi="PT Astra Serif"/>
          <w:b/>
          <w:sz w:val="28"/>
          <w:szCs w:val="28"/>
        </w:rPr>
        <w:t xml:space="preserve"> в 2023</w:t>
      </w:r>
      <w:r w:rsidR="002271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7A272E" w:rsidRPr="005629F1" w:rsidRDefault="007A272E" w:rsidP="005629F1">
      <w:pPr>
        <w:tabs>
          <w:tab w:val="left" w:pos="284"/>
          <w:tab w:val="left" w:pos="567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C401E" w:rsidRPr="00686504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1. Подпрограмма «Чистая вода»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</w:t>
      </w:r>
      <w:r w:rsidR="00686504">
        <w:rPr>
          <w:rFonts w:ascii="PT Astra Serif" w:eastAsia="Times New Roman" w:hAnsi="PT Astra Serif"/>
          <w:i/>
          <w:sz w:val="28"/>
          <w:szCs w:val="28"/>
          <w:lang w:eastAsia="ru-RU"/>
        </w:rPr>
        <w:t>ный проект «Оздоровление Волги»</w:t>
      </w:r>
    </w:p>
    <w:p w:rsidR="007C401E" w:rsidRPr="007C401E" w:rsidRDefault="007C401E" w:rsidP="00C0043F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 2023 году в рамках </w:t>
      </w:r>
      <w:r w:rsidR="00686504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данного регионального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проекта реализовывались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3 проекта:</w:t>
      </w:r>
    </w:p>
    <w:p w:rsidR="00072461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1) завершена реконструкция сооружений биологической очистки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 xml:space="preserve">очистных сооружений канализации правобережья города Ульяновска.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2) продолжаются работы по реконструкции сооружений биологической очистки очистных сооружений канализации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левобережья города Ульяновска.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Срок проведения работ – 2022-2024 годы.  По состоянию на 01.01.2024 выполнено 33,36% от общего объёма работ. Плановый срок завершения работ – 01.12.2024. </w:t>
      </w:r>
    </w:p>
    <w:p w:rsidR="007C401E" w:rsidRPr="007C401E" w:rsidRDefault="007C401E" w:rsidP="007C401E">
      <w:pPr>
        <w:tabs>
          <w:tab w:val="left" w:pos="4320"/>
          <w:tab w:val="left" w:pos="4500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3) продолжаются работы по реконструкции очистных сооружений канализации города Барыша.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По состоянию на 01.01.2024 выполнено 35,83 %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от общего объёма работ. Плановый срок ввода объекта в эксплуатацию – 01.12.2024. </w:t>
      </w:r>
    </w:p>
    <w:p w:rsidR="00686504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i/>
          <w:sz w:val="28"/>
          <w:szCs w:val="28"/>
          <w:lang w:eastAsia="ru-RU"/>
        </w:rPr>
        <w:t>Ре</w:t>
      </w:r>
      <w:r w:rsidR="00686504">
        <w:rPr>
          <w:rFonts w:ascii="PT Astra Serif" w:eastAsia="Times New Roman" w:hAnsi="PT Astra Serif"/>
          <w:i/>
          <w:sz w:val="28"/>
          <w:szCs w:val="28"/>
          <w:lang w:eastAsia="ru-RU"/>
        </w:rPr>
        <w:t>гиональный проект «Чистая вода»</w:t>
      </w:r>
    </w:p>
    <w:p w:rsidR="007C401E" w:rsidRPr="007C401E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2023 году реализовывались 2 проекта:</w:t>
      </w:r>
    </w:p>
    <w:p w:rsidR="00072461" w:rsidRDefault="007C401E" w:rsidP="007C401E">
      <w:pPr>
        <w:widowControl/>
        <w:suppressAutoHyphens/>
        <w:spacing w:line="23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lastRenderedPageBreak/>
        <w:t xml:space="preserve">1. Строительство водовода от пос. Октябрьский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Чердаклинского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 xml:space="preserve">до пос. Мирный и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р.п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. Чердаклы.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Плановый срок ввода объекта в эксплуатацию – 01.12.2024.  По состоянию на 01.01.2024 выполнено 62,7% от общего объёма работ. Плановый срок ввода объекта в эксплуатацию – 01.12.2024.  </w:t>
      </w:r>
    </w:p>
    <w:p w:rsidR="007C401E" w:rsidRPr="007C401E" w:rsidRDefault="007C401E" w:rsidP="007C401E">
      <w:pPr>
        <w:widowControl/>
        <w:suppressAutoHyphens/>
        <w:spacing w:line="232" w:lineRule="auto"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2. Реконструкция системы водоснабжения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р.п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. Новая Майна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Мелекесского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района.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выполнения работ – 2022-2024 годы. Плановый срок ввода объекта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в эксплуатацию – 01.12.2024. 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На реализацию основного мероприятия «Организация водоснабжения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и водоотведения населения Ульяновской области» в 2023 году направлено 587 283,02217 тыс. рублей, в том числе на:</w:t>
      </w:r>
    </w:p>
    <w:p w:rsidR="007C401E" w:rsidRPr="007C401E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-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строительство, реконструкцию, ремонт объектов водоснабжения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 водоотведения, подготовку проектной документации, включая погашение кредиторской задолженности – 206 422,81574 тыс. рублей;</w:t>
      </w:r>
    </w:p>
    <w:p w:rsidR="007C401E" w:rsidRPr="007C401E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-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предоставление субсидий на возмещение затрат, связанных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 выполнением работ и оказанием услуг в сфере водоснабжения (включая лизинговые платежи) – 380 860,20643 тыс. рублей.</w:t>
      </w:r>
    </w:p>
    <w:p w:rsidR="007C401E" w:rsidRPr="007C401E" w:rsidRDefault="00072461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2023 году достигнут следующий целевой индикатор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:</w:t>
      </w:r>
    </w:p>
    <w:p w:rsidR="007C401E" w:rsidRPr="00072461" w:rsidRDefault="007C401E" w:rsidP="0007246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количество отремонтированных объектов водоснабжения </w:t>
      </w:r>
      <w:r w:rsidR="00686504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и водоотведения – план 46 ед./факт 49 ед. За счёт сложившейся экономии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 результатам проведения аукционов были выполнены дополнительно </w:t>
      </w:r>
      <w:r w:rsidR="00686504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3 мероприятия по</w:t>
      </w:r>
      <w:r w:rsidR="0007246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ремонту объектов водоснабжения</w:t>
      </w:r>
      <w:r w:rsidRPr="0007246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 бюджеты муниципальных образований перечислено 206 409,8424 тыс. рублей, остаток неиспользованных субсидий – 12 973,34 рублей (экономия,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 xml:space="preserve">сложившаяся в ходе выполнения работ по ремонту водопровода и замене водонапорной башни в селе Выры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Майнского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района).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реализацию основного мероприятия «Реализация региональной про-граммы «Модернизация систем коммунальной инфраструктуры в Ульяновской области» в 2023 году нап</w:t>
      </w:r>
      <w:r w:rsidR="00120B66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равлено  16 440,73 тыс. рублей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средств областного бюджета.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Завершены работы по строительству водовода от водозабора «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Смородино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» до села Криуши города Новоульяновска, протяжённостью 6,9 км.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>2. Подпрограмма «Газификация населённы</w:t>
      </w:r>
      <w:r w:rsidR="00686504"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х пунктов Ульяновской </w:t>
      </w:r>
      <w:r w:rsidR="00686504"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области»</w:t>
      </w:r>
    </w:p>
    <w:p w:rsidR="007C401E" w:rsidRPr="007C401E" w:rsidRDefault="007C401E" w:rsidP="00686504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2.1. На реализацию основного мероприятия «Организация газоснабжения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в населённых пунктах Ульяновской области» подпрограммой предусмотрено финансирование в размере 24367,2 тыс. рублей на обеспечение работ,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br/>
        <w:t>связанных с техническим обслуживанием построенных газопроводов, постановкой их на кадастровый учёт, оформление о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t xml:space="preserve">хранных зон (всего 36 объектов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общей протяжённостью 435,6 км).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По итогам 2023 года ОГКП «Агентство стратегического консалтинга» 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t xml:space="preserve">(далее – ОГКП «АСК»)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направлено 24367,2 тыс. рублей: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Выполнение работ составляет: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постановка на кадастровый учёт построенных и введённых 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в эксплуатацию объектов систем газоснабжения –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12 объектов;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заключено договоров на техническое, ремонтное и аварийно-диспетчерское обслуживание газопроводов – 36 объектов;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зарегистрировано право государственной собственности Ульяновской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br/>
        <w:t>области – 35 объектов;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зарегистрировано право оперативного управления ОГКП «АСК» - 32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br/>
        <w:t>объекта;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изготовление технических планов для оформления охранных зон объектов – 36 объектов.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План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t>овый показатель выполнен на 100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%.</w:t>
      </w:r>
    </w:p>
    <w:p w:rsidR="00120B66" w:rsidRDefault="007C401E" w:rsidP="00120B66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2.2. На реализацию мероприятия «Предоставление газораспределительным организациям, индивидуальным предпринимателям субсидий из областного бюджета Ульяновской области в целях воз</w:t>
      </w:r>
      <w:r w:rsidR="00156F8A">
        <w:rPr>
          <w:rFonts w:ascii="PT Astra Serif" w:eastAsia="Times New Roman" w:hAnsi="PT Astra Serif"/>
          <w:sz w:val="28"/>
          <w:szCs w:val="28"/>
          <w:lang w:eastAsia="ru-RU"/>
        </w:rPr>
        <w:t xml:space="preserve">мещения недополученных доходов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в связи с реализацией населению Ульяновской области сжиженного углеводородного газа для бытовых нужд, по подлежащим государственному регулированию ценам» выделено и освоено 188 372,70 тыс. рублей. Субсидия предоставлена уполномоченной газораспределительной организации (погашение задолженности на 3,4 квартал 2022 года и 1 квартал 2023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). Количество сжиженного углеводородного газа для бытовых нужд, реализованного населению Ульяновской области по подлежащим государственному регулированию ценам Ульяновской об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t xml:space="preserve">ласти составило 1923,64 тонны. </w:t>
      </w:r>
    </w:p>
    <w:p w:rsidR="00C0043F" w:rsidRPr="007C401E" w:rsidRDefault="00C0043F" w:rsidP="00120B66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>3. Подпрограмма «Содействие муниципальным образованиям Ульяновской области в подготовке и прохождении отопительных периодов»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i/>
          <w:sz w:val="28"/>
          <w:szCs w:val="28"/>
          <w:lang w:eastAsia="ru-RU"/>
        </w:rPr>
      </w:pPr>
    </w:p>
    <w:p w:rsidR="00E046C2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3.1. На реализацию мероприятия «Предоставление областным государственным казённым предприятиям субсидий в целях возмещения затрат, связанных с выполнением работ и оказанием услуг в сфере теплоснабжения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(в том числе затрат, связанных с погашением кредит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орской задолженности),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а также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затрат, связанных с реализацией мероприяти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й, направленных на обеспечение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антитеррористической защищённости» заплан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ировано 721 712,4 тыс. рублей, данные средства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направлены ОГКП «Корпорация развития коммунального комплекса Ульяновской области».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Запланированный 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целевой индикатор мероприятия 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>выполнен на 100%: введена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в эксплуатацию котельная №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и 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частично модернизирована котельная 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№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2 в </w:t>
      </w:r>
      <w:proofErr w:type="spellStart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. Ишеевка. </w:t>
      </w:r>
    </w:p>
    <w:p w:rsidR="007C401E" w:rsidRPr="00E046C2" w:rsidRDefault="007C401E" w:rsidP="00072461">
      <w:pPr>
        <w:widowControl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3.2. На реализацию мероприятия «Предоставление субсидий из областного бюджета организациям коммунального комплекса Ульяновской области в целях возмещения затрат, связанных с потреблением природного газа» запланировано 158 248,0 тыс. рублей.  Данные средства направлены ОГКП «Агентство стратегического консалтинга» для погашения задолженности за потреблённый природный газ организациями, осуществляющими свою деятельность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на территории муниципальных образований Ульяновско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>й области, по договорам цессии.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3.3. На реализацию мероприятия «Предоставление субсидий 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из областного бюджета муниципальным образованиям Ульяновской области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</w:t>
      </w:r>
      <w:proofErr w:type="spellStart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софинансирования</w:t>
      </w:r>
      <w:proofErr w:type="spellEnd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расходных обязательств, возникающих в связи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с ремонтом (в том числе капитальным ремонтом) тепловых сетей» 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запланировано 10 249,9 тыс. рублей.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Данные средства направлены МО «</w:t>
      </w:r>
      <w:proofErr w:type="spellStart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Инзенский</w:t>
      </w:r>
      <w:proofErr w:type="spellEnd"/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на ремонт тепловой сети в городе Инза. Работы завершены в 1 квартале 2023 года. Протяжённость отремонтированных тепловых сетей составила 0,405 км. Запланированный целе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вой индикатор 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>достигнут на 100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%.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E41AA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E41AA">
        <w:rPr>
          <w:rFonts w:ascii="PT Astra Serif" w:eastAsia="Times New Roman" w:hAnsi="PT Astra Serif"/>
          <w:b/>
          <w:sz w:val="28"/>
          <w:szCs w:val="28"/>
          <w:lang w:eastAsia="ru-RU"/>
        </w:rPr>
        <w:t>4. Подпрограмма «Энергосбережение и повышение энергетической</w:t>
      </w:r>
      <w:r w:rsidRPr="006E41AA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 эффективности в Ульяновской области»</w:t>
      </w: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4.1. На реализацию Закона Ульяновской области от 29.09.2015 № 131-ЗО </w:t>
      </w:r>
      <w:r w:rsidR="00120B66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«О некоторых мерах по привлечению в организации жилищно-коммунального хозяйства, находящиеся на территории Ульяновской области, квалифицированных работников» запланировано </w:t>
      </w:r>
      <w:r w:rsidR="00E11DC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финансирование в объёме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1781,515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тыс. рублей. Средства направлены ФГБОУ «Ульяновский государственный технический университет» на подготовку специалистов высшего образования по направлению «Строительство» и профилю «Управление </w:t>
      </w:r>
      <w:r w:rsidR="00E11DC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 эксплуатация систем жилищно-коммунального хозяйства».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Плановое значение целевого индикатора мероприятия на 2023 год – 20 квалифицированных работников, привлечённых в организации </w:t>
      </w:r>
      <w:r w:rsidR="006E41AA" w:rsidRPr="006E41AA">
        <w:rPr>
          <w:rFonts w:ascii="PT Astra Serif" w:eastAsia="Times New Roman" w:hAnsi="PT Astra Serif"/>
          <w:sz w:val="28"/>
          <w:szCs w:val="28"/>
          <w:lang w:eastAsia="ru-RU"/>
        </w:rPr>
        <w:t>жилищно-коммунального хозяйства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, находящиеся на территории Ульяновской области. Значение целевого индикатора оценивается по результатам факта трудоустройства квалифицированных специалистов в организации жилищно-коммунального хозяйства. П</w:t>
      </w:r>
      <w:r w:rsidR="006E41AA">
        <w:rPr>
          <w:rFonts w:ascii="PT Astra Serif" w:eastAsia="Times New Roman" w:hAnsi="PT Astra Serif"/>
          <w:sz w:val="28"/>
          <w:szCs w:val="28"/>
          <w:lang w:eastAsia="ru-RU"/>
        </w:rPr>
        <w:t xml:space="preserve">о итогу 2023 целевой индикатор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достигнут на 100%.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4.2. На реализацию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мероприятия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Предоставление субсидий областным государственным казённым предприятиям Ульяновской области в целях финансового обеспечения затрат, связанных со строительством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 модернизацией теплоисточников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ворам факторинга)» в 2023 году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запланировано </w:t>
      </w:r>
      <w:r w:rsidR="00E11DC5" w:rsidRPr="00E11DC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финансирование в объёме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21 795,9 тыс. рублей. Данные средства направлены ОГКП «Корпорация развития коммунального комплекса Ульяновской области» для оплаты текущих платежей по договорам лизинга.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4.3. На реализацию мероприятия «Предоставление субсидий областным государственным казённым предприятиям Ульяновской области в целях финансового обеспечения затрат, связанных с приобретением техники для жилищно-коммунального хозяйства по договорам финансовой аренды (лизинга)»,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2023 году запланировано 130 000,0</w:t>
      </w:r>
      <w:r w:rsidRPr="007C401E">
        <w:rPr>
          <w:rFonts w:eastAsia="Times New Roman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тыс.</w:t>
      </w:r>
      <w:r w:rsidRPr="007C401E">
        <w:rPr>
          <w:rFonts w:eastAsia="Times New Roman"/>
          <w:sz w:val="28"/>
          <w:szCs w:val="28"/>
          <w:lang w:eastAsia="ru-RU"/>
        </w:rPr>
        <w:t xml:space="preserve">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рублей. Данные средства направлены ОГКП «Ульяновский областной водоканал» для оплаты текущих платежей </w:t>
      </w:r>
      <w:r w:rsidR="00120B66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договорам лизинга.</w:t>
      </w:r>
    </w:p>
    <w:p w:rsidR="007C401E" w:rsidRPr="007C401E" w:rsidRDefault="007C401E" w:rsidP="006E41AA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4.4. На реализацию мероприятия «Предоставление и распределение субсидий из областного бюджета Ульяновской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области бюджетам муниципальных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образований Ульяновской области в целях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софинансирования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расходных обязательств, связанных с реализацией мероприятия, направленного на закупку светильников с высоким классом энергетической эффективности, строительством, реконструкцией и ремонтом объектов наружного освещения» 23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lastRenderedPageBreak/>
        <w:t xml:space="preserve">муниципальным образованиям Ульяновской области из областного бюджета выделено 1000,0 тыс. рублей. Между Министерством и 23 муниципальными образованиями Ульяновской области заключены соглашения о предоставлении субсидий, связанных с реализацией указанного мероприятия. </w:t>
      </w:r>
    </w:p>
    <w:p w:rsidR="007C401E" w:rsidRPr="007C401E" w:rsidRDefault="006E41AA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своены денежные средства областного бюджета Ульяновской области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размере 999,99963 тыс. рублей, средства муниципальных бюджетов 44,74227 тыс. рублей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.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Муниципальными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образованиями выполнены работы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закупке 359 светильников с высоким классом энергетической эффективности, что позволило достичь целевого показателя по установке (замене) светильников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102%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.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 разрезе муниципальных образований области мероприятия реализованы </w:t>
      </w:r>
      <w:r w:rsidR="00120B66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следующем объёме: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Базарносызганский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(15 светильников на общую сумму 51 000,00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Барышский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(24 светильника на общую сумму 45 913,13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3.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Вешкаймский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(22 светильника на общую сумму 47 190,00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Инзенское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Инзенский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(8 светильников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общую сумму 46 381,44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5.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Карсунское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Карсунский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(27 светильников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47 846,16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6.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Еделевское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сельское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Кузоватовский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(15 светильников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45 975,00 рублей.);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7.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Майнское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Майнский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(14 светильников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46 381,63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8.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Мелекесский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(15 светильников на общую сумму 47 348,00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9.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Николаевский район (15 светильников на общую сумму 45 913,13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10.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Новочеремшанское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сельское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Новомалыклинский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(8 светильников на общую сумму 46 859,80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11.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Новоспасское городское поселение Новоспасский район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(10 светильников на общую сумму 46 381,63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12.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Павловский район (20 светильников на общую сумму 48 800,00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13.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Ореховское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сельское поселение Радищевский район (10 светильников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45 913,13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14.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Сенгилеевское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Сенгилеевский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(21 светильник на общую сумму 51 450,00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15.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Старокулаткинский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(18 светильников на общую сумму 45 913,13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16.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Старомайнское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Старомайнский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(19 светильников на общую сумму 53 200,00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17.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Сурское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Сурский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(10 светильников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общую сумму 45 913,10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18.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Белогорское сельское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Тереньгульский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(4 светильника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23 190,85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19.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Ясашноташлинское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сельское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Тереньгульский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(5 светильников на общую сумму 23 877,00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lastRenderedPageBreak/>
        <w:t>20.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Ишеевское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Ульяновский район (19 светильников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на общую сумму 46 859,80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21.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Алгашинское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сельское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Цильнинский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 (8 светильников на общую сумму 47 726,55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22.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Чердаклинское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городское поселение </w:t>
      </w:r>
      <w:proofErr w:type="spellStart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Чердаклинского</w:t>
      </w:r>
      <w:proofErr w:type="spellEnd"/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>(20 светильников на общую сумму 47 347,92 рублей);</w:t>
      </w:r>
    </w:p>
    <w:p w:rsidR="007C401E" w:rsidRPr="007C401E" w:rsidRDefault="007C401E" w:rsidP="007C401E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23.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ab/>
        <w:t xml:space="preserve"> г. Новоульяновск (32 светильника на общую сумму 47 360,50 рублей).</w:t>
      </w:r>
    </w:p>
    <w:p w:rsidR="002271C4" w:rsidRPr="005629F1" w:rsidRDefault="002271C4" w:rsidP="00120B66">
      <w:pPr>
        <w:widowControl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8360D8" w:rsidRPr="00685CC9" w:rsidRDefault="002271C4" w:rsidP="002271C4">
      <w:pPr>
        <w:ind w:firstLine="708"/>
        <w:jc w:val="both"/>
        <w:rPr>
          <w:rFonts w:ascii="PT Astra Serif" w:hAnsi="PT Astra Serif" w:cs="Times New Roman CYR"/>
          <w:b/>
          <w:sz w:val="28"/>
          <w:szCs w:val="28"/>
        </w:rPr>
      </w:pPr>
      <w:r w:rsidRPr="00685CC9">
        <w:rPr>
          <w:rFonts w:ascii="PT Astra Serif" w:hAnsi="PT Astra Serif" w:cs="Times New Roman CYR"/>
          <w:b/>
          <w:sz w:val="28"/>
          <w:szCs w:val="28"/>
        </w:rPr>
        <w:t xml:space="preserve">2.2.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Цели и задачи </w:t>
      </w:r>
      <w:r w:rsidRPr="00685CC9">
        <w:rPr>
          <w:rFonts w:ascii="PT Astra Serif" w:hAnsi="PT Astra Serif" w:cs="Times New Roman CYR"/>
          <w:b/>
          <w:sz w:val="28"/>
          <w:szCs w:val="28"/>
        </w:rPr>
        <w:t xml:space="preserve">реализации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>государственно</w:t>
      </w:r>
      <w:r w:rsidR="00A97EAB" w:rsidRPr="00685CC9">
        <w:rPr>
          <w:rFonts w:ascii="PT Astra Serif" w:hAnsi="PT Astra Serif" w:cs="Times New Roman CYR"/>
          <w:b/>
          <w:sz w:val="28"/>
          <w:szCs w:val="28"/>
        </w:rPr>
        <w:t xml:space="preserve">й программы Ульяновской области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«Развитие жилищно-коммунального хозяйства </w:t>
      </w:r>
      <w:r w:rsidR="006E41AA" w:rsidRPr="00685CC9">
        <w:rPr>
          <w:rFonts w:ascii="PT Astra Serif" w:hAnsi="PT Astra Serif" w:cs="Times New Roman CYR"/>
          <w:b/>
          <w:sz w:val="28"/>
          <w:szCs w:val="28"/>
        </w:rPr>
        <w:br/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и повышение энергетической эффективности в Ульяновской области» </w:t>
      </w:r>
      <w:r w:rsidR="006E41AA" w:rsidRPr="00685CC9">
        <w:rPr>
          <w:rFonts w:ascii="PT Astra Serif" w:hAnsi="PT Astra Serif" w:cs="Times New Roman CYR"/>
          <w:b/>
          <w:sz w:val="28"/>
          <w:szCs w:val="28"/>
        </w:rPr>
        <w:br/>
      </w:r>
      <w:r w:rsidR="00685CC9" w:rsidRPr="00685CC9">
        <w:rPr>
          <w:rFonts w:ascii="PT Astra Serif" w:hAnsi="PT Astra Serif" w:cs="Times New Roman CYR"/>
          <w:b/>
          <w:sz w:val="28"/>
          <w:szCs w:val="28"/>
        </w:rPr>
        <w:t>в 2024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 году</w:t>
      </w:r>
    </w:p>
    <w:p w:rsidR="007A272E" w:rsidRPr="002271C4" w:rsidRDefault="007A272E" w:rsidP="002271C4">
      <w:pPr>
        <w:ind w:firstLine="708"/>
        <w:jc w:val="both"/>
        <w:rPr>
          <w:rFonts w:ascii="PT Astra Serif" w:hAnsi="PT Astra Serif" w:cs="Times New Roman CYR"/>
          <w:b/>
          <w:sz w:val="28"/>
          <w:szCs w:val="28"/>
        </w:rPr>
      </w:pPr>
    </w:p>
    <w:p w:rsidR="00A97EAB" w:rsidRPr="00EA026D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A026D">
        <w:rPr>
          <w:rFonts w:ascii="PT Astra Serif" w:eastAsia="Times New Roman" w:hAnsi="PT Astra Serif"/>
          <w:b/>
          <w:sz w:val="28"/>
          <w:szCs w:val="28"/>
          <w:lang w:eastAsia="ru-RU"/>
        </w:rPr>
        <w:t>Подпрограмма «Чистая вода».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Региональный проект «Оздоровление Волги»</w:t>
      </w:r>
    </w:p>
    <w:p w:rsidR="00A97EAB" w:rsidRPr="005629F1" w:rsidRDefault="00EA026D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2024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году в рамках проекта «Оздоровление Волги» планируется реализация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следующих 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>проектов: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завершение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 по реконструкции сооружений биологической очистки очистных сооружений канализации левобережья города Ульяновска.  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завершение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 по реконструкции очистных сооружений канализации города Барыша. </w:t>
      </w:r>
    </w:p>
    <w:p w:rsidR="00C0043F" w:rsidRDefault="00C0043F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Региональный проект «Чистая вода»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</w:t>
      </w:r>
      <w:r w:rsidR="00EA026D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24</w:t>
      </w:r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в рамках проекта «Чистая вода» планируется </w:t>
      </w:r>
      <w:r w:rsidR="00EA026D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завершение реализации</w:t>
      </w:r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2 проектов:</w:t>
      </w:r>
    </w:p>
    <w:p w:rsidR="00A97EAB" w:rsidRPr="005629F1" w:rsidRDefault="00EA026D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- строительства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водовода от пос. Октябрьский </w:t>
      </w:r>
      <w:proofErr w:type="spellStart"/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Чердаклинского</w:t>
      </w:r>
      <w:proofErr w:type="spellEnd"/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до пос. Мирный и </w:t>
      </w:r>
      <w:proofErr w:type="spellStart"/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р.п</w:t>
      </w:r>
      <w:proofErr w:type="spellEnd"/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. Чердаклы.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- </w:t>
      </w:r>
      <w:r w:rsidR="00EA026D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завершение </w:t>
      </w:r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реконструкции системы водоснабжения </w:t>
      </w:r>
      <w:proofErr w:type="spellStart"/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р.п</w:t>
      </w:r>
      <w:proofErr w:type="spellEnd"/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. Новая Майна </w:t>
      </w:r>
      <w:proofErr w:type="spellStart"/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Мелекесского</w:t>
      </w:r>
      <w:proofErr w:type="spellEnd"/>
      <w:r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района. </w:t>
      </w:r>
    </w:p>
    <w:p w:rsidR="00EA026D" w:rsidRPr="00EA026D" w:rsidRDefault="00A97EAB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i/>
          <w:iCs/>
          <w:sz w:val="28"/>
          <w:szCs w:val="28"/>
          <w:lang w:eastAsia="ru-RU"/>
        </w:rPr>
        <w:t>На реализацию  мероприятия «</w:t>
      </w:r>
      <w:r w:rsidR="00EA026D">
        <w:rPr>
          <w:rFonts w:ascii="PT Astra Serif" w:eastAsia="Times New Roman" w:hAnsi="PT Astra Serif"/>
          <w:bCs/>
          <w:i/>
          <w:iCs/>
          <w:sz w:val="28"/>
          <w:szCs w:val="28"/>
          <w:lang w:eastAsia="ru-RU"/>
        </w:rPr>
        <w:t>Организация</w:t>
      </w:r>
      <w:r w:rsidRPr="005629F1">
        <w:rPr>
          <w:rFonts w:ascii="PT Astra Serif" w:eastAsia="Times New Roman" w:hAnsi="PT Astra Serif"/>
          <w:bCs/>
          <w:i/>
          <w:iCs/>
          <w:sz w:val="28"/>
          <w:szCs w:val="28"/>
          <w:lang w:eastAsia="ru-RU"/>
        </w:rPr>
        <w:t xml:space="preserve"> водоснабжения </w:t>
      </w:r>
      <w:r w:rsidR="00EA026D">
        <w:rPr>
          <w:rFonts w:ascii="PT Astra Serif" w:eastAsia="Times New Roman" w:hAnsi="PT Astra Serif"/>
          <w:bCs/>
          <w:i/>
          <w:iCs/>
          <w:sz w:val="28"/>
          <w:szCs w:val="28"/>
          <w:lang w:eastAsia="ru-RU"/>
        </w:rPr>
        <w:br/>
      </w:r>
      <w:r w:rsidRPr="005629F1">
        <w:rPr>
          <w:rFonts w:ascii="PT Astra Serif" w:eastAsia="Times New Roman" w:hAnsi="PT Astra Serif"/>
          <w:bCs/>
          <w:i/>
          <w:iCs/>
          <w:sz w:val="28"/>
          <w:szCs w:val="28"/>
          <w:lang w:eastAsia="ru-RU"/>
        </w:rPr>
        <w:t>и водоотведения населения Ульяновской области»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в 2024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году планируется направить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644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млн. рублей.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В рамках реализации б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удут выполнены следующие мероприятия: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ввод в эксплуатацию 72,05 км новых водопроводов в 5 населённых пунктах:</w:t>
      </w:r>
    </w:p>
    <w:p w:rsidR="00EA026D" w:rsidRPr="00EA026D" w:rsidRDefault="00EA026D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>внутрипоселковые</w:t>
      </w:r>
      <w:proofErr w:type="spellEnd"/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сети водоснабжения с. Новая Малыкла, с. Вышки Уль</w:t>
      </w:r>
      <w:r w:rsidR="004D3BA7">
        <w:rPr>
          <w:rFonts w:ascii="PT Astra Serif" w:eastAsia="Times New Roman" w:hAnsi="PT Astra Serif"/>
          <w:sz w:val="28"/>
          <w:szCs w:val="28"/>
          <w:lang w:eastAsia="ru-RU"/>
        </w:rPr>
        <w:t xml:space="preserve">яновского района, </w:t>
      </w:r>
      <w:proofErr w:type="spellStart"/>
      <w:r w:rsidR="004D3BA7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4D3BA7">
        <w:rPr>
          <w:rFonts w:ascii="PT Astra Serif" w:eastAsia="Times New Roman" w:hAnsi="PT Astra Serif"/>
          <w:sz w:val="28"/>
          <w:szCs w:val="28"/>
          <w:lang w:eastAsia="ru-RU"/>
        </w:rPr>
        <w:t>. Чердаклы;</w:t>
      </w:r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EA026D" w:rsidRPr="00EA026D" w:rsidRDefault="00EA026D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>- водовод до ПОИЗ «Б</w:t>
      </w:r>
      <w:r w:rsidR="004D3BA7">
        <w:rPr>
          <w:rFonts w:ascii="PT Astra Serif" w:eastAsia="Times New Roman" w:hAnsi="PT Astra Serif"/>
          <w:sz w:val="28"/>
          <w:szCs w:val="28"/>
          <w:lang w:eastAsia="ru-RU"/>
        </w:rPr>
        <w:t>ерезовая Роща» г. Новоульяновск;</w:t>
      </w:r>
    </w:p>
    <w:p w:rsidR="00EA026D" w:rsidRPr="00EA026D" w:rsidRDefault="00EA026D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- водовод до пос. Мирный и </w:t>
      </w:r>
      <w:proofErr w:type="spellStart"/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EA026D">
        <w:rPr>
          <w:rFonts w:ascii="PT Astra Serif" w:eastAsia="Times New Roman" w:hAnsi="PT Astra Serif"/>
          <w:sz w:val="28"/>
          <w:szCs w:val="28"/>
          <w:lang w:eastAsia="ru-RU"/>
        </w:rPr>
        <w:t>. Чердаклы;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2)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ввод в эксплуатацию станции водоподготовки в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. Новая Майна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Мелекесского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района;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3) </w:t>
      </w:r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начало реконструкции водопроводных сетей в </w:t>
      </w:r>
      <w:proofErr w:type="spellStart"/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. Базарный Сызган (планируется долгосрочный контракт со сроком завершения в 2026 году) </w:t>
      </w:r>
      <w:r w:rsidR="00120B66">
        <w:rPr>
          <w:rFonts w:ascii="PT Astra Serif" w:eastAsia="Times New Roman" w:hAnsi="PT Astra Serif"/>
          <w:bCs/>
          <w:sz w:val="28"/>
          <w:szCs w:val="28"/>
          <w:lang w:eastAsia="ru-RU"/>
        </w:rPr>
        <w:br/>
      </w:r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и с. </w:t>
      </w:r>
      <w:proofErr w:type="spellStart"/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>Полдомасово</w:t>
      </w:r>
      <w:proofErr w:type="spellEnd"/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Ульяновского района со сроком завершения в 2025 году;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4)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замена аварийных участков Радищевского группового водовода;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5)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замена аварийных участков водопроводных сетей в 10 населённых пунктах (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. Вешкайма,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. Базарный Сызган, с.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Паньшино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, с. Мордовская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Карагужа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, пос. Володарский, пос. Кубра Радищевского района, с. Баклуши,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с. Татарский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Шмалак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, с. Шаховское Павловского района, г. Ульяновск);</w:t>
      </w:r>
    </w:p>
    <w:p w:rsidR="00EA026D" w:rsidRPr="00EA026D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6) </w:t>
      </w:r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замена или ремонт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15 накопителей (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. Чуфарово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Вешкаймского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района, пос. Красный Гуляй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Сенгилеевского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района,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. Кузоватово, с.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Новочеремшанск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, с. Нижняя Якушка, с. Александровка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Новомалыклинского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района, с. Баклуши Павловского района, с. Мордовская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Карагужа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, с. Волчанка, пос. Володарский, пос. Шевченко, с. Ореховка, с. Калиновка, пос. Вишневый, пос. Кубра Радищевского района)</w:t>
      </w:r>
      <w:r w:rsidR="00EA026D" w:rsidRPr="00EA026D">
        <w:rPr>
          <w:rFonts w:ascii="PT Astra Serif" w:eastAsia="Times New Roman" w:hAnsi="PT Astra Serif"/>
          <w:bCs/>
          <w:sz w:val="28"/>
          <w:szCs w:val="28"/>
          <w:lang w:eastAsia="ru-RU"/>
        </w:rPr>
        <w:t>;</w:t>
      </w:r>
    </w:p>
    <w:p w:rsidR="00C0043F" w:rsidRDefault="004D3BA7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7) </w:t>
      </w:r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восстановление 3 водозаборов в с. Старое Рождествено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Старомайнского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района, с. Черный Ключ </w:t>
      </w:r>
      <w:proofErr w:type="spellStart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>Базарносызганского</w:t>
      </w:r>
      <w:proofErr w:type="spellEnd"/>
      <w:r w:rsidR="00EA026D" w:rsidRPr="00EA026D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и с. Баклуши Павловского района.</w:t>
      </w:r>
    </w:p>
    <w:p w:rsidR="00C0043F" w:rsidRDefault="00C0043F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EAB" w:rsidRPr="002271C4" w:rsidRDefault="007C6E16" w:rsidP="00EA026D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«Газификация населённых пунктов Ульяновской 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области».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На реализацию мероприятия «Организация газоснабжения в населённых пунктах Ульяновской области» в 2024 году предусмотрено финансирование  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br/>
        <w:t>в размере 653 550,3 тыс. рублей, из них: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76 916,0 тыс. рублей на обеспечение работ, связанных с техническим обслуживанием построенных газопроводов, постановкой их на кадастровый учёт, оформление охранных зон; 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145 000,0 тыс. рублей в целях компенсации </w:t>
      </w:r>
      <w:proofErr w:type="spellStart"/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>межтарифной</w:t>
      </w:r>
      <w:proofErr w:type="spellEnd"/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разницы в связи установлением льготных тарифов на сжиженный углеводородный газ для населения Ульяновской области;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431 634,3 тыс. рублей  на погашение  реструктуризированной задолженности теплоснабжающих организаций Ульяновской области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за потреблённый природный газ по договорам цессии. </w:t>
      </w:r>
    </w:p>
    <w:p w:rsidR="00C0043F" w:rsidRDefault="00C0043F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97EAB" w:rsidRPr="002271C4" w:rsidRDefault="00B83072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Организация теплоснабжения в населённых </w:t>
      </w:r>
      <w:r w:rsidR="00E552DB">
        <w:rPr>
          <w:rFonts w:ascii="PT Astra Serif" w:eastAsia="Times New Roman" w:hAnsi="PT Astra Serif"/>
          <w:b/>
          <w:sz w:val="28"/>
          <w:szCs w:val="28"/>
          <w:lang w:eastAsia="ru-RU"/>
        </w:rPr>
        <w:t>пунктах Ульяновской области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</w:p>
    <w:p w:rsidR="00E552DB" w:rsidRPr="00E552DB" w:rsidRDefault="00E552DB" w:rsidP="00E552DB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Реализация мероприятия осуществляется по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2 направления</w:t>
      </w:r>
      <w:r w:rsidR="007C255F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расходов областного бюджета Ульяновской области: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1)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Предоставление субсидий из областного бюджета Ульяновской области областным государственным казённым предприятиям Ульяновской области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возмещения затрат, связанных с выполнением работ и оказанием услуг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в сфере теплоснабжения (в том числе затрат, связанных с погашен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ием кредиторской задолженности)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в сумме 452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> 401,39309 тыс. рублей, из них 10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0 000,0 тыс. рублей для осуществления 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 xml:space="preserve">работ по проектированию 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и строительству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7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блочно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-модульных газовых котельных в газифицированных населённых пунктах: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Тереньгульский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лицей при УлГТУ филиал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Тумкинская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ОШ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МО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Тереньгульский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(0,4МВт);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МКОУ «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Среднетерешанская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средняя школа»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МО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Старокулаткинский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(0,4МВт);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Артюшкинская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ОШ им.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Д.И.Исакова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МО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Сенгилеевский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(0,4МВт);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ОШ с.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Волынщина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МО «</w:t>
      </w:r>
      <w:proofErr w:type="spellStart"/>
      <w:r>
        <w:rPr>
          <w:rFonts w:ascii="PT Astra Serif" w:eastAsia="Times New Roman" w:hAnsi="PT Astra Serif"/>
          <w:sz w:val="28"/>
          <w:szCs w:val="28"/>
          <w:lang w:eastAsia="ru-RU"/>
        </w:rPr>
        <w:t>Кузоватовский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(0,3МВт);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ОШ с.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Коромысловка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в МО «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Кузоватовский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(0,4МВт);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ab/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СОШ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р.п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. Измайлово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МО «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Барышский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район» (0,4МВт);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МОУ СОШ с. 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Живайкино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МО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proofErr w:type="spellStart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Барышский</w:t>
      </w:r>
      <w:proofErr w:type="spellEnd"/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ра</w:t>
      </w:r>
      <w:r>
        <w:rPr>
          <w:rFonts w:ascii="PT Astra Serif" w:eastAsia="Times New Roman" w:hAnsi="PT Astra Serif"/>
          <w:sz w:val="28"/>
          <w:szCs w:val="28"/>
          <w:lang w:eastAsia="ru-RU"/>
        </w:rPr>
        <w:t>йон»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(0,3МВт).</w:t>
      </w:r>
    </w:p>
    <w:p w:rsidR="00E552DB" w:rsidRPr="00E552DB" w:rsidRDefault="00C52F1E" w:rsidP="00C52F1E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2) </w:t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Предоставление субсидий из областного бюджета Ульяновской области областным государственным казённым предприятиям Ульяновской области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финансового обеспечения затрат, связанных со строительством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и модернизацией теплоисточников и тепловых сетей, в том числе затрат, связанных с внесением платы по договорам финансовой аренды (лизинга)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>и (или) договорам финансирования под уступку денежного требования (договорам факторинга)».</w:t>
      </w:r>
      <w:r w:rsidR="00120B66">
        <w:rPr>
          <w:rFonts w:eastAsia="Times New Roman"/>
          <w:sz w:val="28"/>
          <w:szCs w:val="28"/>
          <w:lang w:eastAsia="ru-RU"/>
        </w:rPr>
        <w:t xml:space="preserve"> </w:t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По данному направлению расходов на 2024 год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запланировано выделение 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15 040</w:t>
      </w:r>
      <w:r>
        <w:rPr>
          <w:rFonts w:ascii="PT Astra Serif" w:eastAsia="Times New Roman" w:hAnsi="PT Astra Serif"/>
          <w:sz w:val="28"/>
          <w:szCs w:val="28"/>
          <w:lang w:eastAsia="ru-RU"/>
        </w:rPr>
        <w:t>,0 тыс. рублей</w:t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. Средства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будут </w:t>
      </w:r>
      <w:r w:rsidR="00E552DB" w:rsidRPr="00E552DB">
        <w:rPr>
          <w:rFonts w:ascii="PT Astra Serif" w:eastAsia="Times New Roman" w:hAnsi="PT Astra Serif"/>
          <w:sz w:val="28"/>
          <w:szCs w:val="28"/>
          <w:lang w:eastAsia="ru-RU"/>
        </w:rPr>
        <w:t>направлены ОГКП «Корпорация развития коммунального комплекса Ульяновской области» для осуществления платежей по договорам лизинга.</w:t>
      </w:r>
    </w:p>
    <w:p w:rsidR="00C0043F" w:rsidRDefault="00C0043F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97EAB" w:rsidRPr="002271C4" w:rsidRDefault="00C52F1E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«Энергосбережение и повышение энергетической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 эффективности в Ульяновской области»</w:t>
      </w:r>
    </w:p>
    <w:p w:rsidR="007C255F" w:rsidRDefault="007C255F" w:rsidP="007C255F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Реализация мероприятия осуществляется по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3</w:t>
      </w: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направления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</w:t>
      </w: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расходов областного бюджета Ульяновской области:</w:t>
      </w:r>
    </w:p>
    <w:p w:rsidR="00A97EAB" w:rsidRPr="005629F1" w:rsidRDefault="007C255F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1) Реализация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Закона Ульяновской области от 29.09.2015 № 131-ЗО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«О некоторых мерах по привлечению в организации жилищно-коммунального хозяйства, находящиеся на территории Ульяновской области, квалифицированных работников» запланировано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268,12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тыс. рублей. Субсидия предоставляется ФГБОУ «Ульяновский государственный технический университет» на подготовку специалистов высшего образования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направлению «Строительство» и профилю «Управление и эксплуатация систем жилищно-коммунального хозяйства».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Плановое значение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показателя мероприятия на 2024 год – 4 квалифицированных работника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, привлечённых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организации жилищно-коммунального хозяйства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, находящиеся на территории Ульяновской области. </w:t>
      </w: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Значение показателя оценивается по факту трудоустройства квалифицированных специалистов в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данные </w:t>
      </w: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организации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.  </w:t>
      </w:r>
    </w:p>
    <w:p w:rsidR="00A97EAB" w:rsidRPr="005629F1" w:rsidRDefault="007C255F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2)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Предоставление субсидий областным государственным казённым предприятиям Ульяновской области в целях финансового обеспечения затрат, связанных с приобретением техники для жилищно-коммунального хозяйства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догово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рам финансовой аренды (лизинга). По данному направлению расходов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запланировано 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средств областного бюджета в размере </w:t>
      </w:r>
      <w:r w:rsidR="00596BED" w:rsidRPr="00596BED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9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5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000,0</w:t>
      </w:r>
      <w:r w:rsidR="00A65E69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тыс. рублей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. </w:t>
      </w:r>
    </w:p>
    <w:p w:rsidR="00A97EAB" w:rsidRPr="005629F1" w:rsidRDefault="007C255F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3)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Предоставление субсидий из областного бюджета бюджетам муниципальных образований Ульяновской области в целях </w:t>
      </w:r>
      <w:proofErr w:type="spellStart"/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софинансирования</w:t>
      </w:r>
      <w:proofErr w:type="spellEnd"/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расходных обязательств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, связанных с реализацией мероприятия, направленного 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закупку светильников с высоким классом энергетической эффективности, строительством, реконструкцией и ремонт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ом объектов наружного освещения.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данному направлению расходов в 2024 году 22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муниципальным образованиям Ульяновской области из областного бюджета </w:t>
      </w:r>
      <w:r w:rsidR="00EF738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выделено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1000,0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тыс. руб. Между Министерством и 2</w:t>
      </w:r>
      <w:r w:rsidR="007E6918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муниципальными образованиями Ульяновской области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lastRenderedPageBreak/>
        <w:t xml:space="preserve">заключены соглашения о предоставлении субсидий, связанных с реализацией указанного мероприятия. </w:t>
      </w:r>
    </w:p>
    <w:p w:rsidR="000119EC" w:rsidRPr="005629F1" w:rsidRDefault="000119EC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120B66" w:rsidRDefault="00120B66" w:rsidP="00120B66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Состояние энергосбережения в организациях, занимающихся регулируемыми видами деятельности </w:t>
      </w:r>
    </w:p>
    <w:p w:rsidR="00CA4253" w:rsidRPr="00CA4253" w:rsidRDefault="00CA4253" w:rsidP="00120B66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Федеральным законом от 23.11.2009 № 261-ФЗ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>«Об энергосбережении и о повышении энергетиче</w:t>
      </w:r>
      <w:r w:rsid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ской эффективности», Агентство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по регулированию цен и тарифов Ульяновской</w:t>
      </w:r>
      <w:r w:rsid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области осуществляет контроль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за соблюдением требований законодательства об энергосбережении и о повышении энергетической эффективности организациями, осуществляющими регулируемые виды деятельности.</w:t>
      </w:r>
    </w:p>
    <w:p w:rsidR="00120B66" w:rsidRPr="00CA4253" w:rsidRDefault="00CA4253" w:rsidP="00120B66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 2023 год 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>регулируемые организац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ии предоставили для анализа отчё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ты 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>«О фактическом исполнении установленных требований к программам в области энергосбережения и повышения энергетической эффективности».</w:t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На о</w:t>
      </w:r>
      <w:r w:rsid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сновании информации полученной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от организаций из годовых от</w:t>
      </w:r>
      <w:r w:rsid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чётов </w:t>
      </w:r>
      <w:r w:rsidRPr="00CA425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«О фактическом исполнении установленных требований к программе энергосбережения и повышения энергетической эффективности» можно сделать выводы, как по отраслям деятельности, так и в целом о состоянии энергосбережения в Ульяновской области в организациях, занимающихся регулируемыми видами деятельности.</w:t>
      </w:r>
    </w:p>
    <w:p w:rsidR="00120B66" w:rsidRPr="00CA4253" w:rsidRDefault="00120B66" w:rsidP="00120B66">
      <w:pPr>
        <w:widowControl/>
        <w:spacing w:after="200" w:line="276" w:lineRule="auto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 w:type="page"/>
      </w: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sectPr w:rsidR="00120B66" w:rsidRPr="00CA4253" w:rsidSect="00C0043F">
          <w:headerReference w:type="default" r:id="rId8"/>
          <w:pgSz w:w="11906" w:h="16838"/>
          <w:pgMar w:top="1134" w:right="851" w:bottom="851" w:left="1134" w:header="709" w:footer="283" w:gutter="0"/>
          <w:cols w:space="708"/>
          <w:titlePg/>
          <w:docGrid w:linePitch="360"/>
        </w:sectPr>
      </w:pPr>
    </w:p>
    <w:p w:rsidR="00120B66" w:rsidRPr="00CA4253" w:rsidRDefault="00E11DC5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Передача электрической энергии</w:t>
      </w: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20B66" w:rsidRPr="00CA4253" w:rsidRDefault="00CA4253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>атраты на мероприятия по энергосбережению и экономия 10 крупнейших организаций, занимающихся передаче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й электрической энергии, за 2021-2023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годы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отражены в таблице 2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120B66" w:rsidRDefault="00CA4253" w:rsidP="00CA4253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Таблица 2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CA4253" w:rsidRPr="00CA4253" w:rsidRDefault="00CA4253" w:rsidP="00CA4253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3228"/>
        <w:gridCol w:w="1080"/>
        <w:gridCol w:w="1080"/>
        <w:gridCol w:w="1080"/>
        <w:gridCol w:w="1243"/>
        <w:gridCol w:w="1243"/>
        <w:gridCol w:w="1080"/>
        <w:gridCol w:w="1080"/>
        <w:gridCol w:w="1080"/>
        <w:gridCol w:w="1243"/>
        <w:gridCol w:w="1243"/>
      </w:tblGrid>
      <w:tr w:rsidR="00120B66" w:rsidRPr="00CA4253" w:rsidTr="00CA4253">
        <w:trPr>
          <w:trHeight w:val="13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</w:t>
            </w:r>
            <w:r w:rsidR="00CA425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</w:t>
            </w:r>
            <w:r w:rsidR="005F7969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по энергосбережению,                    тыс.</w:t>
            </w:r>
            <w:r w:rsid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руб.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затрат </w:t>
            </w:r>
          </w:p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на мероприятия в % по отношению к предыдущему году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Годовая экономия </w:t>
            </w:r>
            <w:r w:rsidR="00CA4253">
              <w:rPr>
                <w:rFonts w:ascii="PT Astra Serif" w:eastAsia="Times New Roman" w:hAnsi="PT Astra Serif"/>
                <w:color w:val="000000"/>
                <w:lang w:eastAsia="ru-RU"/>
              </w:rPr>
              <w:br/>
              <w:t xml:space="preserve">от </w:t>
            </w: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реализации мероприятий,                        тыс. руб</w:t>
            </w:r>
            <w:r w:rsidR="00CA4253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     в % по отношению </w:t>
            </w: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br/>
              <w:t>к предыдущему году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66" w:rsidRPr="00CA425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2021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2022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2022/2021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2021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2022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9A65AB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2022/2021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ПАО «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lang w:eastAsia="ru-RU"/>
              </w:rPr>
              <w:t>Россети</w:t>
            </w:r>
            <w:proofErr w:type="spellEnd"/>
            <w:r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Волга»</w:t>
            </w:r>
            <w:r w:rsidR="00120B66"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 УРС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156 450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95 340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-39%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13 930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11 234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20 240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80%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МУП «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lang w:eastAsia="ru-RU"/>
              </w:rPr>
              <w:t>УльГЭС</w:t>
            </w:r>
            <w:proofErr w:type="spellEnd"/>
            <w:r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2 400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2 400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817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116%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АО «УСК»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107 310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112 000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lang w:eastAsia="ru-RU"/>
              </w:rPr>
              <w:t>134 000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9 670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lang w:eastAsia="ru-RU"/>
              </w:rPr>
              <w:t>12 178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-94%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2011%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ЗАО «Авиастар – ОПЭ»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АО «ГНЦ НИИАР»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22 011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-48%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151282%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652%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-4%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lang w:eastAsia="ru-RU"/>
              </w:rPr>
              <w:t>ЭнергоХолдинг</w:t>
            </w:r>
            <w:proofErr w:type="spellEnd"/>
            <w:r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«Энергосеть»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77%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-76%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филиал ОАО «РЖД»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109 495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«Инза Сервис»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9A65AB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«УВКС»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3 080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3 080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3 060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-7%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9A65AB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Прочие организации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51 849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16 637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-68%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28 755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16 970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471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-41%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-97%</w:t>
            </w:r>
          </w:p>
        </w:tc>
      </w:tr>
      <w:tr w:rsidR="00120B66" w:rsidRPr="00CA4253" w:rsidTr="00CA4253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321 750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230 442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272 473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-28%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52 978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29 840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34 693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-44%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lang w:eastAsia="ru-RU"/>
              </w:rPr>
              <w:t>16%</w:t>
            </w:r>
          </w:p>
        </w:tc>
      </w:tr>
    </w:tbl>
    <w:p w:rsidR="00120B66" w:rsidRPr="00CA4253" w:rsidRDefault="00120B66" w:rsidP="00120B66">
      <w:pPr>
        <w:widowControl/>
        <w:spacing w:after="200" w:line="276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120B66" w:rsidRPr="00CA4253" w:rsidRDefault="00120B66" w:rsidP="00120B66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120B66" w:rsidRPr="009A65AB" w:rsidRDefault="00120B66" w:rsidP="009A65AB">
      <w:pPr>
        <w:widowControl/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целом по отрасли</w:t>
      </w:r>
      <w:r w:rsidR="009A65AB">
        <w:rPr>
          <w:rFonts w:ascii="PT Astra Serif" w:eastAsia="Times New Roman" w:hAnsi="PT Astra Serif"/>
          <w:sz w:val="28"/>
          <w:szCs w:val="28"/>
          <w:lang w:eastAsia="ru-RU"/>
        </w:rPr>
        <w:t xml:space="preserve"> электроснабжение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за 2023 год финансовые затраты </w:t>
      </w:r>
      <w:r w:rsidR="009A65AB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на мероприятия по энергосбережению составили 272 473 тыс. руб. Экономия </w:t>
      </w:r>
      <w:r w:rsidR="009A65AB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от реализации мероприятий составила 34 693 тыс. руб.</w:t>
      </w:r>
    </w:p>
    <w:p w:rsidR="00120B66" w:rsidRPr="009A65AB" w:rsidRDefault="00120B66" w:rsidP="009A65AB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</w:t>
      </w:r>
      <w:r w:rsidR="009A65AB">
        <w:rPr>
          <w:rFonts w:ascii="PT Astra Serif" w:eastAsia="Times New Roman" w:hAnsi="PT Astra Serif"/>
          <w:sz w:val="28"/>
          <w:szCs w:val="28"/>
          <w:lang w:eastAsia="ru-RU"/>
        </w:rPr>
        <w:t>т и экономии за 2021-2023 годы.</w:t>
      </w: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drawing>
          <wp:inline distT="0" distB="0" distL="0" distR="0" wp14:anchorId="2B008F4C" wp14:editId="4F86116D">
            <wp:extent cx="6119495" cy="5546641"/>
            <wp:effectExtent l="0" t="0" r="14605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120B66" w:rsidRPr="00CA4253" w:rsidRDefault="00120B66" w:rsidP="00120B66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type w:val="continuous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ЖКК (Холодно</w:t>
      </w:r>
      <w:r w:rsidR="00E11DC5">
        <w:rPr>
          <w:rFonts w:ascii="PT Astra Serif" w:eastAsia="Times New Roman" w:hAnsi="PT Astra Serif"/>
          <w:b/>
          <w:sz w:val="28"/>
          <w:szCs w:val="28"/>
          <w:lang w:eastAsia="ru-RU"/>
        </w:rPr>
        <w:t>е водоснабжение, водоотведение)</w:t>
      </w: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20B66" w:rsidRPr="00CA4253" w:rsidRDefault="00120B66" w:rsidP="00346564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В настоящее время сфера ЖКК является самой большой по количеству регулируемых организаций. Но, несмотря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на большое количество организаций, сфера ЖКК находится на последнем месте по капиталовложениям в мероприятия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по энергосбережению. Это связано с тем, что основная часть предприятий работает с изношенными сетями. Материально-техническая база устарела и требует больших капитальных затрат. Многие организации убыточные или находятся на грани банкротства. </w:t>
      </w:r>
      <w:r w:rsidR="00346564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атраты на мероприятия по энергосбережени</w:t>
      </w:r>
      <w:r w:rsidR="00346564">
        <w:rPr>
          <w:rFonts w:ascii="PT Astra Serif" w:eastAsia="Times New Roman" w:hAnsi="PT Astra Serif"/>
          <w:sz w:val="28"/>
          <w:szCs w:val="28"/>
          <w:lang w:eastAsia="ru-RU"/>
        </w:rPr>
        <w:t xml:space="preserve">ю и экономия за 2021-2023 годы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крупнейших организаций </w:t>
      </w:r>
      <w:r w:rsidR="00346564">
        <w:rPr>
          <w:rFonts w:ascii="PT Astra Serif" w:eastAsia="Times New Roman" w:hAnsi="PT Astra Serif"/>
          <w:sz w:val="28"/>
          <w:szCs w:val="28"/>
          <w:lang w:eastAsia="ru-RU"/>
        </w:rPr>
        <w:t>отрасли по затратам отражены в таблице 3.</w:t>
      </w:r>
    </w:p>
    <w:p w:rsidR="00120B66" w:rsidRPr="00346564" w:rsidRDefault="00346564" w:rsidP="00346564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346564">
        <w:rPr>
          <w:rFonts w:ascii="PT Astra Serif" w:eastAsia="Times New Roman" w:hAnsi="PT Astra Serif"/>
          <w:sz w:val="28"/>
          <w:szCs w:val="28"/>
          <w:lang w:eastAsia="ru-RU"/>
        </w:rPr>
        <w:t>Таблица 3</w:t>
      </w: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6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51"/>
        <w:gridCol w:w="850"/>
        <w:gridCol w:w="955"/>
        <w:gridCol w:w="1200"/>
        <w:gridCol w:w="1200"/>
        <w:gridCol w:w="1080"/>
        <w:gridCol w:w="1080"/>
        <w:gridCol w:w="1080"/>
        <w:gridCol w:w="1200"/>
        <w:gridCol w:w="1200"/>
      </w:tblGrid>
      <w:tr w:rsidR="00120B66" w:rsidRPr="00346564" w:rsidTr="00346564">
        <w:trPr>
          <w:trHeight w:val="1168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Годовые затраты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br/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на </w:t>
            </w:r>
            <w:r w:rsidR="00F81E3F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мероприятия по энергосбережению</w:t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,                    тыс.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Динамика затрат </w:t>
            </w:r>
            <w:r w:rsidR="00F81E3F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br/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на мероприятия в %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br/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по отношению к предыдущему году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Годовая экономия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br/>
              <w:t xml:space="preserve">от </w:t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реализации мероприятий,                        тыс. руб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Динамика экономии      в % по отношению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br/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к предыдущему году</w:t>
            </w:r>
          </w:p>
        </w:tc>
      </w:tr>
      <w:tr w:rsidR="00120B66" w:rsidRPr="00346564" w:rsidTr="00346564">
        <w:trPr>
          <w:trHeight w:val="561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B66" w:rsidRPr="00346564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2022/2021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2023/2022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2022/2021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2023/2022</w:t>
            </w:r>
          </w:p>
        </w:tc>
      </w:tr>
      <w:tr w:rsidR="00120B66" w:rsidRPr="00346564" w:rsidTr="00346564">
        <w:trPr>
          <w:trHeight w:val="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УМУП «</w:t>
            </w:r>
            <w:proofErr w:type="spellStart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Ульяновскводоканал</w:t>
            </w:r>
            <w:proofErr w:type="spellEnd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8 030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-95%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-60%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2 490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10 210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12 746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310%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25%</w:t>
            </w:r>
          </w:p>
        </w:tc>
      </w:tr>
      <w:tr w:rsidR="00120B66" w:rsidRPr="00346564" w:rsidTr="00346564">
        <w:trPr>
          <w:trHeight w:val="4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ООО «Коммунальная служба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16 055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120B66" w:rsidRPr="00346564" w:rsidTr="00346564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Филиал «Ульяновский» ПАО «Т Плюс»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120B66" w:rsidRPr="00346564" w:rsidTr="00346564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СПК «Искра»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</w:tr>
      <w:tr w:rsidR="00120B66" w:rsidRPr="00346564" w:rsidTr="00346564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МУП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Вешкаймское</w:t>
            </w:r>
            <w:proofErr w:type="spellEnd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водоснабжение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»</w:t>
            </w: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МО 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Вешкаймский</w:t>
            </w:r>
            <w:proofErr w:type="spellEnd"/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район</w:t>
            </w:r>
            <w:r w:rsidR="00346564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276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</w:tr>
      <w:tr w:rsidR="00120B66" w:rsidRPr="00346564" w:rsidTr="00346564">
        <w:trPr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ООО «Тимирязевское»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120B66" w:rsidRPr="00346564" w:rsidTr="00346564">
        <w:trPr>
          <w:trHeight w:val="4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МУП «ЖКХ»</w:t>
            </w:r>
            <w:r w:rsidR="00120B66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120B66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Валгусское</w:t>
            </w:r>
            <w:proofErr w:type="spellEnd"/>
            <w:r w:rsidR="00120B66"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</w:tr>
      <w:tr w:rsidR="00120B66" w:rsidRPr="00346564" w:rsidTr="00346564">
        <w:trPr>
          <w:trHeight w:val="3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346564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МУП ЖКХ «Красноярское»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822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н/п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-18%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-9%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</w:tr>
      <w:tr w:rsidR="00120B66" w:rsidRPr="00346564" w:rsidTr="00346564">
        <w:trPr>
          <w:trHeight w:val="2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Прочие организации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3 828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13 074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242%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1 190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5 904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396%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-100%</w:t>
            </w:r>
          </w:p>
        </w:tc>
      </w:tr>
      <w:tr w:rsidR="00120B66" w:rsidRPr="00346564" w:rsidTr="00346564">
        <w:trPr>
          <w:trHeight w:val="4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12 885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14 584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16 525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3 779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16 395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12 746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334%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346564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34656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-22%</w:t>
            </w:r>
          </w:p>
        </w:tc>
      </w:tr>
    </w:tbl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F7969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2023 году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в целом по отрасли ЖКК затраты на энергосбережение составили 16 525 тыс. руб. Экономия от реализ</w:t>
      </w:r>
      <w:r w:rsidR="00C97976">
        <w:rPr>
          <w:rFonts w:ascii="PT Astra Serif" w:eastAsia="Times New Roman" w:hAnsi="PT Astra Serif"/>
          <w:sz w:val="28"/>
          <w:szCs w:val="28"/>
          <w:lang w:eastAsia="ru-RU"/>
        </w:rPr>
        <w:t xml:space="preserve">ации мероприятий 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по энергосбереже</w:t>
      </w:r>
      <w:r w:rsidR="00C0043F">
        <w:rPr>
          <w:rFonts w:ascii="PT Astra Serif" w:eastAsia="Times New Roman" w:hAnsi="PT Astra Serif"/>
          <w:sz w:val="28"/>
          <w:szCs w:val="28"/>
          <w:lang w:eastAsia="ru-RU"/>
        </w:rPr>
        <w:t>нию составила 12 746 тыс. руб.</w:t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затрат и экономии за 2021-2023 годы.</w:t>
      </w:r>
    </w:p>
    <w:p w:rsidR="00120B66" w:rsidRPr="00CA4253" w:rsidRDefault="00120B66" w:rsidP="00120B66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drawing>
          <wp:inline distT="0" distB="0" distL="0" distR="0" wp14:anchorId="655772FD" wp14:editId="66E33F6E">
            <wp:extent cx="6152515" cy="5588000"/>
            <wp:effectExtent l="0" t="0" r="1968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120B66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Организации, занимающиеся теплоснабжением и сопутствующими в</w:t>
      </w:r>
      <w:r w:rsidR="006608F3">
        <w:rPr>
          <w:rFonts w:ascii="PT Astra Serif" w:eastAsia="Times New Roman" w:hAnsi="PT Astra Serif"/>
          <w:b/>
          <w:sz w:val="28"/>
          <w:szCs w:val="28"/>
          <w:lang w:eastAsia="ru-RU"/>
        </w:rPr>
        <w:t>идами регулируемой деятельности</w:t>
      </w:r>
    </w:p>
    <w:p w:rsidR="006608F3" w:rsidRPr="00CA4253" w:rsidRDefault="006608F3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20B66" w:rsidRPr="00CA4253" w:rsidRDefault="006608F3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120B66" w:rsidRPr="00CA4253">
        <w:rPr>
          <w:rFonts w:ascii="PT Astra Serif" w:eastAsia="Times New Roman" w:hAnsi="PT Astra Serif"/>
          <w:sz w:val="28"/>
          <w:szCs w:val="28"/>
          <w:lang w:eastAsia="ru-RU"/>
        </w:rPr>
        <w:t>атраты на мероприятия по энергосбережени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ю и экономия за 2021-2023 годы крупнейших организаций, </w:t>
      </w:r>
      <w:r w:rsidRPr="006608F3">
        <w:rPr>
          <w:rFonts w:ascii="PT Astra Serif" w:eastAsia="Times New Roman" w:hAnsi="PT Astra Serif"/>
          <w:sz w:val="28"/>
          <w:szCs w:val="28"/>
          <w:lang w:eastAsia="ru-RU"/>
        </w:rPr>
        <w:t>занимающихся теплоснабжением и сопутствующими видами регулируемой деятельности,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отражены в таблице 4. </w:t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120B66" w:rsidRPr="006608F3" w:rsidRDefault="006608F3" w:rsidP="006608F3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6608F3">
        <w:rPr>
          <w:rFonts w:ascii="PT Astra Serif" w:eastAsia="Times New Roman" w:hAnsi="PT Astra Serif"/>
          <w:sz w:val="28"/>
          <w:szCs w:val="28"/>
          <w:lang w:eastAsia="ru-RU"/>
        </w:rPr>
        <w:t>Таблица 4</w:t>
      </w:r>
      <w:r w:rsidR="00120B66" w:rsidRPr="006608F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tbl>
      <w:tblPr>
        <w:tblW w:w="15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992"/>
        <w:gridCol w:w="992"/>
        <w:gridCol w:w="993"/>
        <w:gridCol w:w="1275"/>
        <w:gridCol w:w="1134"/>
        <w:gridCol w:w="851"/>
        <w:gridCol w:w="992"/>
        <w:gridCol w:w="992"/>
        <w:gridCol w:w="1253"/>
        <w:gridCol w:w="1305"/>
      </w:tblGrid>
      <w:tr w:rsidR="00120B66" w:rsidRPr="00CA4253" w:rsidTr="006608F3">
        <w:trPr>
          <w:trHeight w:val="1178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на 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мероприятия по энергосбережению,                </w:t>
            </w: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тыс.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руб.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Динамика затрат на мероприятия в % по отношению к предыдущему году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Годовая экономия 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br/>
              <w:t xml:space="preserve">от </w:t>
            </w: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реализации мероприятий,                        тыс. руб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     в % по отношению 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</w:tr>
      <w:tr w:rsidR="006608F3" w:rsidRPr="00CA4253" w:rsidTr="006608F3">
        <w:trPr>
          <w:trHeight w:val="48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B66" w:rsidRPr="006608F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2022/2021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2023/</w:t>
            </w:r>
          </w:p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6608F3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2023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2022/2021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</w:tr>
      <w:tr w:rsidR="006608F3" w:rsidRPr="00CA4253" w:rsidTr="006608F3">
        <w:trPr>
          <w:trHeight w:val="8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ОГКП 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Корпорация развития коммунального комплекса Ульяновской области</w:t>
            </w:r>
            <w:r w:rsidR="006608F3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1 033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6608F3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«Управление домами»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1 774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24201%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-92%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lang w:eastAsia="ru-RU"/>
              </w:rPr>
              <w:t>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588%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47%</w:t>
            </w:r>
          </w:p>
        </w:tc>
      </w:tr>
      <w:tr w:rsidR="006608F3" w:rsidRPr="00CA4253" w:rsidTr="006608F3">
        <w:trPr>
          <w:trHeight w:val="83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ЖКС № 2 филиала ФГБУ ЦЖКУ Минобороны России по ЦВО (08.02.24)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46 000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7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филиал ПАО «Авиационный комплекс им. С.В. Ильюшина» - Авиастар»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5 529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1 440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-30%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</w:tr>
      <w:tr w:rsidR="006608F3" w:rsidRPr="00CA4253" w:rsidTr="006608F3">
        <w:trPr>
          <w:trHeight w:val="5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6608F3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«Коммунальная служба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22 400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7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6608F3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ОГАУСО «Психоневрологический интернат «Союз»</w:t>
            </w:r>
            <w:r w:rsidR="00120B66"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в с.</w:t>
            </w:r>
            <w:r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="00120B66"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Бригадировка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4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6608F3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ООО «НИИАР-ГЕНЕРАЦИЯ»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9 870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5 450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н/п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277%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6608F3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АО «Ульяновский сахарный завод»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0%</w:t>
            </w:r>
          </w:p>
        </w:tc>
      </w:tr>
      <w:tr w:rsidR="006608F3" w:rsidRPr="00CA4253" w:rsidTr="006608F3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6608F3" w:rsidRDefault="00120B66" w:rsidP="006608F3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Прочие организации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10 345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16 360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362%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-100%</w:t>
            </w:r>
          </w:p>
        </w:tc>
      </w:tr>
      <w:tr w:rsidR="006608F3" w:rsidRPr="00CA4253" w:rsidTr="006608F3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26 591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25 024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69 815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179%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250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140%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6608F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6608F3">
              <w:rPr>
                <w:rFonts w:ascii="PT Astra Serif" w:eastAsia="Times New Roman" w:hAnsi="PT Astra Serif"/>
                <w:color w:val="000000"/>
                <w:lang w:eastAsia="ru-RU"/>
              </w:rPr>
              <w:t>-93%</w:t>
            </w:r>
          </w:p>
        </w:tc>
      </w:tr>
    </w:tbl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120B66" w:rsidRPr="00CA4253" w:rsidRDefault="00120B66" w:rsidP="00F81E3F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4473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За 2023 год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в организациях, занимающихся теплоснабжением </w:t>
      </w:r>
      <w:r w:rsidR="007447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и сопутствующими видами регулируемой деятельности</w:t>
      </w:r>
      <w:r w:rsidR="0074473F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затраты на мероприятия </w:t>
      </w:r>
      <w:r w:rsidR="0074473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по энергосбережению составили 69 815 тыс. руб. Экономия от реализации мероприятий по итогам 2023 года  250 тыс. руб. </w:t>
      </w:r>
    </w:p>
    <w:p w:rsidR="00120B66" w:rsidRPr="00CA4253" w:rsidRDefault="00120B66" w:rsidP="00F81E3F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затрат и экономии за 2021-2023 годы.</w:t>
      </w: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drawing>
          <wp:inline distT="0" distB="0" distL="0" distR="0" wp14:anchorId="370551E7" wp14:editId="6223D6D2">
            <wp:extent cx="6159260" cy="6159261"/>
            <wp:effectExtent l="0" t="0" r="13335" b="133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0B66" w:rsidRPr="00CA4253" w:rsidRDefault="00120B66" w:rsidP="00120B66">
      <w:pPr>
        <w:widowControl/>
        <w:tabs>
          <w:tab w:val="left" w:pos="8745"/>
        </w:tabs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tab/>
      </w: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120B66" w:rsidRPr="00CA4253" w:rsidRDefault="00120B66" w:rsidP="00F81E3F">
      <w:pPr>
        <w:widowControl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120B66" w:rsidRPr="00CA4253" w:rsidSect="00CA4253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Итоги состояния области энергосбережения в организациях, занимающихся регулируемыми видами деятельности</w:t>
      </w:r>
    </w:p>
    <w:p w:rsidR="00120B66" w:rsidRPr="00CA4253" w:rsidRDefault="004E3B6D" w:rsidP="00120B66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по итогам 2023 года</w:t>
      </w: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В 2023 году организациями, занимающимися регулируемыми видами деятельности, на мероприятия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по энергосбережению были израсходованы средства в размере </w:t>
      </w:r>
      <w:bookmarkStart w:id="1" w:name="_Hlk74765532"/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358 813   тыс. руб</w:t>
      </w:r>
      <w:bookmarkEnd w:id="1"/>
      <w:r w:rsidR="004E3B6D">
        <w:rPr>
          <w:rFonts w:ascii="PT Astra Serif" w:eastAsia="Times New Roman" w:hAnsi="PT Astra Serif"/>
          <w:sz w:val="28"/>
          <w:szCs w:val="28"/>
          <w:lang w:eastAsia="ru-RU"/>
        </w:rPr>
        <w:t>лей. Структура и объё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мы финансирования </w:t>
      </w:r>
      <w:r w:rsidR="004E3B6D">
        <w:rPr>
          <w:rFonts w:ascii="PT Astra Serif" w:eastAsia="Times New Roman" w:hAnsi="PT Astra Serif"/>
          <w:sz w:val="28"/>
          <w:szCs w:val="28"/>
          <w:lang w:eastAsia="ru-RU"/>
        </w:rPr>
        <w:t xml:space="preserve">представлены в таблице 5. </w:t>
      </w:r>
    </w:p>
    <w:p w:rsidR="00120B66" w:rsidRDefault="004E3B6D" w:rsidP="004E3B6D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Таблица 5</w:t>
      </w:r>
    </w:p>
    <w:p w:rsidR="004E3B6D" w:rsidRPr="00CA4253" w:rsidRDefault="004E3B6D" w:rsidP="004E3B6D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8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08"/>
        <w:gridCol w:w="1436"/>
        <w:gridCol w:w="1134"/>
        <w:gridCol w:w="1276"/>
        <w:gridCol w:w="1417"/>
        <w:gridCol w:w="952"/>
        <w:gridCol w:w="1241"/>
        <w:gridCol w:w="1134"/>
        <w:gridCol w:w="1283"/>
        <w:gridCol w:w="1414"/>
        <w:gridCol w:w="1414"/>
      </w:tblGrid>
      <w:tr w:rsidR="00120B66" w:rsidRPr="00CA4253" w:rsidTr="004E3B6D">
        <w:trPr>
          <w:trHeight w:val="1305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Виды</w:t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  <w:t>регулируемой</w:t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Годовые затраты 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на мероприятия 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  <w:t>по энергосбережению</w:t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,                    тыс.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Динамика затрат 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на мероприятия в % по отношению к предыдущему году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Годовая экономия 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br/>
              <w:t xml:space="preserve">от </w:t>
            </w: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реализации мероприятий,                        тыс. руб</w:t>
            </w:r>
            <w:r w:rsidR="004E3B6D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Динамика экономии</w:t>
            </w:r>
            <w:r w:rsidR="00120B66"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в % по отношению к предыдущему году</w:t>
            </w:r>
          </w:p>
        </w:tc>
      </w:tr>
      <w:tr w:rsidR="004E3B6D" w:rsidRPr="00CA4253" w:rsidTr="004E3B6D">
        <w:trPr>
          <w:trHeight w:val="405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B66" w:rsidRPr="00CA4253" w:rsidRDefault="00120B66" w:rsidP="00120B66">
            <w:pPr>
              <w:widowControl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2022/2021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2023/2022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2022/2021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2023/2022</w:t>
            </w:r>
          </w:p>
        </w:tc>
      </w:tr>
      <w:tr w:rsidR="004E3B6D" w:rsidRPr="00CA4253" w:rsidTr="004E3B6D">
        <w:trPr>
          <w:trHeight w:val="9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Передача электрической энергии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321 750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230 442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272 473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-28%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52 978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29 840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34 693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-44%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16%</w:t>
            </w:r>
          </w:p>
        </w:tc>
      </w:tr>
      <w:tr w:rsidR="004E3B6D" w:rsidRPr="00CA4253" w:rsidTr="004E3B6D">
        <w:trPr>
          <w:trHeight w:val="975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Производство, передача тепловой энергии, ГВС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26 591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25 024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69 815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-6%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179%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3 505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-93%</w:t>
            </w:r>
          </w:p>
        </w:tc>
      </w:tr>
      <w:tr w:rsidR="004E3B6D" w:rsidRPr="00CA4253" w:rsidTr="004E3B6D">
        <w:trPr>
          <w:trHeight w:val="93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Водоснабжение (ХВС) и Водоотведение (ВО)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14 584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16 525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13%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3 779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16 395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12 746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334%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-22%</w:t>
            </w:r>
          </w:p>
        </w:tc>
      </w:tr>
      <w:tr w:rsidR="004E3B6D" w:rsidRPr="00CA4253" w:rsidTr="004E3B6D">
        <w:trPr>
          <w:trHeight w:val="975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B66" w:rsidRPr="00CA4253" w:rsidRDefault="004E3B6D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361 226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270 050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358 813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-25%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58 216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49 740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47 689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-15%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B66" w:rsidRPr="00CA4253" w:rsidRDefault="00120B66" w:rsidP="00120B66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CA4253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-4%</w:t>
            </w:r>
          </w:p>
        </w:tc>
      </w:tr>
    </w:tbl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120B66" w:rsidRPr="00CA4253" w:rsidSect="00CA4253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120B66" w:rsidRPr="00CA4253" w:rsidRDefault="00120B66" w:rsidP="00120B66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13F51035" wp14:editId="3B7B7388">
            <wp:extent cx="6159260" cy="6288657"/>
            <wp:effectExtent l="0" t="0" r="13335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0B66" w:rsidRPr="00CA4253" w:rsidRDefault="00120B66" w:rsidP="00120B66">
      <w:pPr>
        <w:widowControl/>
        <w:ind w:firstLine="708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Затраты на мероприятия по энергосбережению за 2023 год (358 813 тыс. руб.) увеличились по сравнению с 2022 годом на 33% (270 050 тыс. руб.). Годовая экономия от внедрения мероприятий по итогам 2023 года составила </w:t>
      </w:r>
      <w:r w:rsidR="004E3B6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47 689 тыс. ру</w:t>
      </w:r>
      <w:r w:rsidR="004E3B6D">
        <w:rPr>
          <w:rFonts w:ascii="PT Astra Serif" w:eastAsia="Times New Roman" w:hAnsi="PT Astra Serif"/>
          <w:sz w:val="28"/>
          <w:szCs w:val="28"/>
          <w:lang w:eastAsia="ru-RU"/>
        </w:rPr>
        <w:t>б., что на 4% меньше показателя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 прошлого 2022 года 49 740 тыс. руб.</w:t>
      </w: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Ниже приведены суммарные значения динамики затрат и экономии </w:t>
      </w:r>
      <w:r w:rsidR="004E3B6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>по всем видам регулируемой деятельности за три предыдущих года.</w:t>
      </w:r>
    </w:p>
    <w:p w:rsidR="00120B66" w:rsidRPr="00CA4253" w:rsidRDefault="00120B66" w:rsidP="004E3B6D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0A0BFDAE" wp14:editId="090FA473">
            <wp:extent cx="6056985" cy="6291072"/>
            <wp:effectExtent l="0" t="0" r="20320" b="146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0B66" w:rsidRPr="00CA4253" w:rsidRDefault="00120B66" w:rsidP="004E3B6D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20B66" w:rsidRPr="00CA4253" w:rsidRDefault="00120B66" w:rsidP="00120B66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t xml:space="preserve">На основании приведённых данных можно сделать вывод о повышении расходов на реализацию мероприятий по энергосбережению в 2023 году </w:t>
      </w:r>
      <w:r w:rsidRPr="00CA4253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по отношению к 2022 году. </w:t>
      </w:r>
    </w:p>
    <w:p w:rsidR="005825B0" w:rsidRPr="00CA4253" w:rsidRDefault="005825B0" w:rsidP="005629F1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2B51" w:rsidRDefault="00F23B47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2.</w:t>
      </w:r>
      <w:r w:rsidR="00994C48" w:rsidRPr="005629F1">
        <w:rPr>
          <w:rFonts w:ascii="PT Astra Serif" w:hAnsi="PT Astra Serif"/>
          <w:b/>
          <w:sz w:val="28"/>
          <w:szCs w:val="28"/>
        </w:rPr>
        <w:t>4</w:t>
      </w:r>
      <w:r w:rsidRPr="005629F1">
        <w:rPr>
          <w:rFonts w:ascii="PT Astra Serif" w:hAnsi="PT Astra Serif"/>
          <w:b/>
          <w:sz w:val="28"/>
          <w:szCs w:val="28"/>
        </w:rPr>
        <w:t xml:space="preserve">. </w:t>
      </w:r>
      <w:r w:rsidR="005806B3" w:rsidRPr="005629F1">
        <w:rPr>
          <w:rFonts w:ascii="PT Astra Serif" w:hAnsi="PT Astra Serif"/>
          <w:b/>
          <w:sz w:val="28"/>
          <w:szCs w:val="28"/>
        </w:rPr>
        <w:t>Государственная информационная система в области энергосбережения и повышения энергетическо</w:t>
      </w:r>
      <w:r w:rsidR="004E3B6D">
        <w:rPr>
          <w:rFonts w:ascii="PT Astra Serif" w:hAnsi="PT Astra Serif"/>
          <w:b/>
          <w:sz w:val="28"/>
          <w:szCs w:val="28"/>
        </w:rPr>
        <w:t xml:space="preserve">й эффективности, </w:t>
      </w:r>
      <w:r w:rsidR="005806B3" w:rsidRPr="005629F1">
        <w:rPr>
          <w:rFonts w:ascii="PT Astra Serif" w:hAnsi="PT Astra Serif"/>
          <w:b/>
          <w:sz w:val="28"/>
          <w:szCs w:val="28"/>
        </w:rPr>
        <w:t>представление деклараций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F4C82" w:rsidRPr="006F4C82" w:rsidRDefault="006F4C82" w:rsidP="006F4C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 xml:space="preserve">В соответствии с частью 1 статьи 16 Федерального закона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на исполнительные органы, органы местного самоуправления, </w:t>
      </w:r>
      <w:r w:rsidRPr="006F4C82">
        <w:rPr>
          <w:rFonts w:ascii="PT Astra Serif" w:hAnsi="PT Astra Serif"/>
          <w:sz w:val="28"/>
          <w:szCs w:val="28"/>
        </w:rPr>
        <w:lastRenderedPageBreak/>
        <w:t xml:space="preserve">государственные и муниципальные учреждения возложена обязанность </w:t>
      </w:r>
      <w:r>
        <w:rPr>
          <w:rFonts w:ascii="PT Astra Serif" w:hAnsi="PT Astra Serif"/>
          <w:sz w:val="28"/>
          <w:szCs w:val="28"/>
        </w:rPr>
        <w:br/>
      </w:r>
      <w:r w:rsidRPr="006F4C82">
        <w:rPr>
          <w:rFonts w:ascii="PT Astra Serif" w:hAnsi="PT Astra Serif"/>
          <w:sz w:val="28"/>
          <w:szCs w:val="28"/>
        </w:rPr>
        <w:t>по представлению деклараций о потреблении энергетически</w:t>
      </w:r>
      <w:r>
        <w:rPr>
          <w:rFonts w:ascii="PT Astra Serif" w:hAnsi="PT Astra Serif"/>
          <w:sz w:val="28"/>
          <w:szCs w:val="28"/>
        </w:rPr>
        <w:t xml:space="preserve">х ресурсов (далее – декларации) в государственную информационную систему в области энергосбережения и повышения энергетической эффективности (далее – ГИС «Энергоэффективность»). </w:t>
      </w:r>
    </w:p>
    <w:p w:rsidR="006F4C82" w:rsidRPr="006F4C82" w:rsidRDefault="006F4C82" w:rsidP="006F4C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Приказом Минэкономразвития России 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 утверждён Порядок представления декларации о потреблении энергетических р</w:t>
      </w:r>
      <w:r>
        <w:rPr>
          <w:rFonts w:ascii="PT Astra Serif" w:hAnsi="PT Astra Serif"/>
          <w:sz w:val="28"/>
          <w:szCs w:val="28"/>
        </w:rPr>
        <w:t>есурсов и форма декларации</w:t>
      </w:r>
      <w:r w:rsidRPr="006F4C82">
        <w:rPr>
          <w:rFonts w:ascii="PT Astra Serif" w:hAnsi="PT Astra Serif"/>
          <w:sz w:val="28"/>
          <w:szCs w:val="28"/>
        </w:rPr>
        <w:t>.</w:t>
      </w:r>
    </w:p>
    <w:p w:rsidR="00C31894" w:rsidRDefault="00794D14" w:rsidP="005629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Д</w:t>
      </w:r>
      <w:r w:rsidR="005B393A" w:rsidRPr="005629F1">
        <w:rPr>
          <w:rFonts w:ascii="PT Astra Serif" w:hAnsi="PT Astra Serif"/>
          <w:sz w:val="28"/>
          <w:szCs w:val="28"/>
        </w:rPr>
        <w:t>еклараци</w:t>
      </w:r>
      <w:r w:rsidRPr="005629F1">
        <w:rPr>
          <w:rFonts w:ascii="PT Astra Serif" w:hAnsi="PT Astra Serif"/>
          <w:sz w:val="28"/>
          <w:szCs w:val="28"/>
        </w:rPr>
        <w:t>и</w:t>
      </w:r>
      <w:r w:rsidR="005B393A" w:rsidRPr="005629F1">
        <w:rPr>
          <w:rFonts w:ascii="PT Astra Serif" w:hAnsi="PT Astra Serif"/>
          <w:sz w:val="28"/>
          <w:szCs w:val="28"/>
        </w:rPr>
        <w:t xml:space="preserve"> за </w:t>
      </w:r>
      <w:r w:rsidR="00DC23F1" w:rsidRPr="005629F1">
        <w:rPr>
          <w:rFonts w:ascii="PT Astra Serif" w:hAnsi="PT Astra Serif"/>
          <w:sz w:val="28"/>
          <w:szCs w:val="28"/>
        </w:rPr>
        <w:t>отчётный</w:t>
      </w:r>
      <w:r w:rsidR="005B393A" w:rsidRPr="005629F1">
        <w:rPr>
          <w:rFonts w:ascii="PT Astra Serif" w:hAnsi="PT Astra Serif"/>
          <w:sz w:val="28"/>
          <w:szCs w:val="28"/>
        </w:rPr>
        <w:t xml:space="preserve"> 202</w:t>
      </w:r>
      <w:r w:rsidR="008854EF" w:rsidRPr="006F4C82">
        <w:rPr>
          <w:rFonts w:ascii="PT Astra Serif" w:hAnsi="PT Astra Serif"/>
          <w:sz w:val="28"/>
          <w:szCs w:val="28"/>
        </w:rPr>
        <w:t>3</w:t>
      </w:r>
      <w:r w:rsidR="005B393A" w:rsidRPr="005629F1">
        <w:rPr>
          <w:rFonts w:ascii="PT Astra Serif" w:hAnsi="PT Astra Serif"/>
          <w:sz w:val="28"/>
          <w:szCs w:val="28"/>
        </w:rPr>
        <w:t xml:space="preserve"> год </w:t>
      </w:r>
      <w:r w:rsidRPr="005629F1">
        <w:rPr>
          <w:rFonts w:ascii="PT Astra Serif" w:hAnsi="PT Astra Serif"/>
          <w:sz w:val="28"/>
          <w:szCs w:val="28"/>
        </w:rPr>
        <w:t xml:space="preserve">предоставлены </w:t>
      </w:r>
      <w:r w:rsidR="00146F4C" w:rsidRPr="005629F1">
        <w:rPr>
          <w:rFonts w:ascii="PT Astra Serif" w:hAnsi="PT Astra Serif"/>
          <w:sz w:val="28"/>
          <w:szCs w:val="28"/>
        </w:rPr>
        <w:t xml:space="preserve">учреждениями </w:t>
      </w:r>
      <w:r w:rsidRPr="005629F1">
        <w:rPr>
          <w:rFonts w:ascii="PT Astra Serif" w:hAnsi="PT Astra Serif"/>
          <w:sz w:val="28"/>
          <w:szCs w:val="28"/>
        </w:rPr>
        <w:t>исполнительны</w:t>
      </w:r>
      <w:r w:rsidR="00146F4C" w:rsidRPr="005629F1">
        <w:rPr>
          <w:rFonts w:ascii="PT Astra Serif" w:hAnsi="PT Astra Serif"/>
          <w:sz w:val="28"/>
          <w:szCs w:val="28"/>
        </w:rPr>
        <w:t>х органов</w:t>
      </w:r>
      <w:r w:rsidRPr="005629F1">
        <w:rPr>
          <w:rFonts w:ascii="PT Astra Serif" w:hAnsi="PT Astra Serif"/>
          <w:sz w:val="28"/>
          <w:szCs w:val="28"/>
        </w:rPr>
        <w:t xml:space="preserve"> и орган</w:t>
      </w:r>
      <w:r w:rsidR="00146F4C" w:rsidRPr="005629F1">
        <w:rPr>
          <w:rFonts w:ascii="PT Astra Serif" w:hAnsi="PT Astra Serif"/>
          <w:sz w:val="28"/>
          <w:szCs w:val="28"/>
        </w:rPr>
        <w:t>ов</w:t>
      </w:r>
      <w:r w:rsidRPr="005629F1">
        <w:rPr>
          <w:rFonts w:ascii="PT Astra Serif" w:hAnsi="PT Astra Serif"/>
          <w:sz w:val="28"/>
          <w:szCs w:val="28"/>
        </w:rPr>
        <w:t xml:space="preserve"> местного самоуправления </w:t>
      </w:r>
      <w:r w:rsidR="006F4C82">
        <w:rPr>
          <w:rFonts w:ascii="PT Astra Serif" w:hAnsi="PT Astra Serif"/>
          <w:sz w:val="28"/>
          <w:szCs w:val="28"/>
        </w:rPr>
        <w:t xml:space="preserve">Ульяновской области в ГИС </w:t>
      </w:r>
      <w:r w:rsidR="006F4C82" w:rsidRPr="006F4C82">
        <w:rPr>
          <w:rFonts w:ascii="PT Astra Serif" w:hAnsi="PT Astra Serif"/>
          <w:sz w:val="28"/>
          <w:szCs w:val="28"/>
        </w:rPr>
        <w:t>«Энергоэффективность»</w:t>
      </w:r>
      <w:r w:rsidR="006F4C82">
        <w:rPr>
          <w:rFonts w:ascii="PT Astra Serif" w:hAnsi="PT Astra Serif"/>
          <w:sz w:val="28"/>
          <w:szCs w:val="28"/>
        </w:rPr>
        <w:t xml:space="preserve">. </w:t>
      </w:r>
    </w:p>
    <w:p w:rsidR="00F672AC" w:rsidRPr="005629F1" w:rsidRDefault="00F672AC" w:rsidP="005629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0A5C" w:rsidRPr="006F4C82" w:rsidRDefault="00450A5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4C82">
        <w:rPr>
          <w:rFonts w:ascii="PT Astra Serif" w:hAnsi="PT Astra Serif"/>
          <w:b/>
          <w:sz w:val="28"/>
          <w:szCs w:val="28"/>
        </w:rPr>
        <w:t>2.</w:t>
      </w:r>
      <w:r w:rsidR="00994C48" w:rsidRPr="006F4C82">
        <w:rPr>
          <w:rFonts w:ascii="PT Astra Serif" w:hAnsi="PT Astra Serif"/>
          <w:b/>
          <w:sz w:val="28"/>
          <w:szCs w:val="28"/>
        </w:rPr>
        <w:t>5</w:t>
      </w:r>
      <w:r w:rsidRPr="006F4C82">
        <w:rPr>
          <w:rFonts w:ascii="PT Astra Serif" w:hAnsi="PT Astra Serif"/>
          <w:b/>
          <w:sz w:val="28"/>
          <w:szCs w:val="28"/>
        </w:rPr>
        <w:t xml:space="preserve">. </w:t>
      </w:r>
      <w:r w:rsidR="00AC2602" w:rsidRPr="006F4C82">
        <w:rPr>
          <w:rFonts w:ascii="PT Astra Serif" w:hAnsi="PT Astra Serif"/>
          <w:b/>
          <w:sz w:val="28"/>
          <w:szCs w:val="28"/>
        </w:rPr>
        <w:t>Т</w:t>
      </w:r>
      <w:r w:rsidRPr="006F4C82">
        <w:rPr>
          <w:rFonts w:ascii="PT Astra Serif" w:hAnsi="PT Astra Serif"/>
          <w:b/>
          <w:sz w:val="28"/>
          <w:szCs w:val="28"/>
        </w:rPr>
        <w:t>ехническо</w:t>
      </w:r>
      <w:r w:rsidR="00AC2602" w:rsidRPr="006F4C82">
        <w:rPr>
          <w:rFonts w:ascii="PT Astra Serif" w:hAnsi="PT Astra Serif"/>
          <w:b/>
          <w:sz w:val="28"/>
          <w:szCs w:val="28"/>
        </w:rPr>
        <w:t>е</w:t>
      </w:r>
      <w:r w:rsidRPr="006F4C82">
        <w:rPr>
          <w:rFonts w:ascii="PT Astra Serif" w:hAnsi="PT Astra Serif"/>
          <w:b/>
          <w:sz w:val="28"/>
          <w:szCs w:val="28"/>
        </w:rPr>
        <w:t xml:space="preserve"> регулировани</w:t>
      </w:r>
      <w:r w:rsidR="00AC2602" w:rsidRPr="006F4C82">
        <w:rPr>
          <w:rFonts w:ascii="PT Astra Serif" w:hAnsi="PT Astra Serif"/>
          <w:b/>
          <w:sz w:val="28"/>
          <w:szCs w:val="28"/>
        </w:rPr>
        <w:t>е</w:t>
      </w:r>
      <w:r w:rsidRPr="006F4C82">
        <w:rPr>
          <w:rFonts w:ascii="PT Astra Serif" w:hAnsi="PT Astra Serif"/>
          <w:b/>
          <w:sz w:val="28"/>
          <w:szCs w:val="28"/>
        </w:rPr>
        <w:t xml:space="preserve"> энергосбережения и повышения энергетической эффективности в бюджетной сфере Ульяновской области</w:t>
      </w:r>
    </w:p>
    <w:p w:rsidR="00F672AC" w:rsidRPr="006F4C82" w:rsidRDefault="00F672AC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52179" w:rsidRPr="00B55AC6" w:rsidRDefault="00752179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В целях технического регулирования вопросов энергосбережения </w:t>
      </w:r>
      <w:r w:rsidR="00F13761" w:rsidRPr="00B55AC6">
        <w:rPr>
          <w:rFonts w:ascii="PT Astra Serif" w:hAnsi="PT Astra Serif"/>
          <w:sz w:val="28"/>
          <w:szCs w:val="28"/>
        </w:rPr>
        <w:br/>
      </w:r>
      <w:r w:rsidRPr="00B55AC6">
        <w:rPr>
          <w:rFonts w:ascii="PT Astra Serif" w:hAnsi="PT Astra Serif"/>
          <w:sz w:val="28"/>
          <w:szCs w:val="28"/>
        </w:rPr>
        <w:t xml:space="preserve">и повышения энергетической эффективности в </w:t>
      </w:r>
      <w:r w:rsidR="00670770" w:rsidRPr="00B55AC6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9E0E94" w:rsidRPr="00B55AC6">
        <w:rPr>
          <w:rFonts w:ascii="PT Astra Serif" w:hAnsi="PT Astra Serif"/>
          <w:sz w:val="28"/>
          <w:szCs w:val="28"/>
        </w:rPr>
        <w:br/>
      </w:r>
      <w:r w:rsidR="00670770" w:rsidRPr="00B55AC6">
        <w:rPr>
          <w:rFonts w:ascii="PT Astra Serif" w:hAnsi="PT Astra Serif"/>
          <w:sz w:val="28"/>
          <w:szCs w:val="28"/>
        </w:rPr>
        <w:t>за 20</w:t>
      </w:r>
      <w:r w:rsidR="000F2163" w:rsidRPr="00B55AC6">
        <w:rPr>
          <w:rFonts w:ascii="PT Astra Serif" w:hAnsi="PT Astra Serif"/>
          <w:sz w:val="28"/>
          <w:szCs w:val="28"/>
        </w:rPr>
        <w:t>2</w:t>
      </w:r>
      <w:r w:rsidR="00C562DF" w:rsidRPr="00B55AC6">
        <w:rPr>
          <w:rFonts w:ascii="PT Astra Serif" w:hAnsi="PT Astra Serif"/>
          <w:sz w:val="28"/>
          <w:szCs w:val="28"/>
        </w:rPr>
        <w:t>3</w:t>
      </w:r>
      <w:r w:rsidR="00BF48CE" w:rsidRPr="00B55AC6">
        <w:rPr>
          <w:rFonts w:ascii="PT Astra Serif" w:hAnsi="PT Astra Serif"/>
          <w:sz w:val="28"/>
          <w:szCs w:val="28"/>
        </w:rPr>
        <w:t xml:space="preserve"> год</w:t>
      </w:r>
      <w:r w:rsidRPr="00B55AC6">
        <w:rPr>
          <w:rFonts w:ascii="PT Astra Serif" w:hAnsi="PT Astra Serif"/>
          <w:sz w:val="28"/>
          <w:szCs w:val="28"/>
        </w:rPr>
        <w:t xml:space="preserve"> подготовлены и утверждены следующие </w:t>
      </w:r>
      <w:r w:rsidR="00BF48CE" w:rsidRPr="00B55AC6">
        <w:rPr>
          <w:rFonts w:ascii="PT Astra Serif" w:hAnsi="PT Astra Serif"/>
          <w:sz w:val="28"/>
          <w:szCs w:val="28"/>
        </w:rPr>
        <w:t>правовые акты</w:t>
      </w:r>
      <w:r w:rsidRPr="00B55AC6">
        <w:rPr>
          <w:rFonts w:ascii="PT Astra Serif" w:hAnsi="PT Astra Serif"/>
          <w:sz w:val="28"/>
          <w:szCs w:val="28"/>
        </w:rPr>
        <w:t>: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02.02.2023   №2/45-П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1179EC" w:rsidRPr="00B55AC6">
        <w:rPr>
          <w:rFonts w:ascii="PT Astra Serif" w:hAnsi="PT Astra Serif"/>
          <w:bCs/>
          <w:sz w:val="28"/>
          <w:szCs w:val="28"/>
        </w:rPr>
        <w:t xml:space="preserve">. 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21.04.2023  №10/175-П «О внесении изменений в государственную программу Ульяновской области «Развитие жилищно-коммунального хозяйства </w:t>
      </w:r>
      <w:r w:rsidRPr="00B55AC6">
        <w:rPr>
          <w:rFonts w:ascii="PT Astra Serif" w:hAnsi="PT Astra Serif"/>
          <w:bCs/>
          <w:sz w:val="28"/>
          <w:szCs w:val="28"/>
        </w:rPr>
        <w:br/>
        <w:t>и повышение энергетической эффективности в Ульяновской области»</w:t>
      </w:r>
      <w:r w:rsidR="00F909F4" w:rsidRPr="00B55AC6">
        <w:rPr>
          <w:rFonts w:ascii="PT Astra Serif" w:hAnsi="PT Astra Serif"/>
          <w:bCs/>
          <w:sz w:val="28"/>
          <w:szCs w:val="28"/>
        </w:rPr>
        <w:t>.</w:t>
      </w:r>
    </w:p>
    <w:p w:rsidR="00427E8C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B55AC6">
        <w:rPr>
          <w:rFonts w:ascii="PT Astra Serif" w:hAnsi="PT Astra Serif"/>
          <w:sz w:val="28"/>
          <w:szCs w:val="28"/>
        </w:rPr>
        <w:br/>
        <w:t>от 27.04.2023 № 11/189-П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26.05.2023   № 13 /254-П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bCs/>
          <w:sz w:val="28"/>
          <w:szCs w:val="28"/>
        </w:rPr>
        <w:br/>
      </w:r>
      <w:r w:rsidRPr="00B55AC6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1179EC" w:rsidRPr="00B55AC6">
        <w:rPr>
          <w:rFonts w:ascii="PT Astra Serif" w:hAnsi="PT Astra Serif"/>
          <w:bCs/>
          <w:sz w:val="28"/>
          <w:szCs w:val="28"/>
        </w:rPr>
        <w:t>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24.08.2023  №22/424-П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bCs/>
          <w:sz w:val="28"/>
          <w:szCs w:val="28"/>
        </w:rPr>
        <w:br/>
      </w:r>
      <w:r w:rsidRPr="00B55AC6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F909F4" w:rsidRPr="00B55AC6">
        <w:rPr>
          <w:rFonts w:ascii="PT Astra Serif" w:hAnsi="PT Astra Serif"/>
          <w:bCs/>
          <w:sz w:val="28"/>
          <w:szCs w:val="28"/>
        </w:rPr>
        <w:t>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22.09.2023 </w:t>
      </w:r>
      <w:r w:rsidRPr="00B55AC6">
        <w:rPr>
          <w:rFonts w:ascii="PT Astra Serif" w:hAnsi="PT Astra Serif"/>
          <w:bCs/>
          <w:sz w:val="28"/>
          <w:szCs w:val="28"/>
        </w:rPr>
        <w:br/>
        <w:t xml:space="preserve">№  23/492-П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bCs/>
          <w:sz w:val="28"/>
          <w:szCs w:val="28"/>
        </w:rPr>
        <w:br/>
      </w:r>
      <w:r w:rsidRPr="00B55AC6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8A45B7" w:rsidRPr="00B55AC6">
        <w:rPr>
          <w:rFonts w:ascii="PT Astra Serif" w:hAnsi="PT Astra Serif"/>
          <w:bCs/>
          <w:sz w:val="28"/>
          <w:szCs w:val="28"/>
        </w:rPr>
        <w:t>.</w:t>
      </w:r>
    </w:p>
    <w:p w:rsidR="008A45B7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lastRenderedPageBreak/>
        <w:t xml:space="preserve">Постановление Правительства Ульяновской области </w:t>
      </w:r>
      <w:r w:rsidRPr="00B55AC6">
        <w:rPr>
          <w:rFonts w:ascii="PT Astra Serif" w:hAnsi="PT Astra Serif"/>
          <w:sz w:val="28"/>
          <w:szCs w:val="28"/>
        </w:rPr>
        <w:br/>
        <w:t xml:space="preserve">от 02.11.2023  28/565-П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sz w:val="28"/>
          <w:szCs w:val="28"/>
        </w:rPr>
        <w:br/>
      </w:r>
      <w:r w:rsidRPr="00B55AC6">
        <w:rPr>
          <w:rFonts w:ascii="PT Astra Serif" w:hAnsi="PT Astra Serif"/>
          <w:sz w:val="28"/>
          <w:szCs w:val="28"/>
        </w:rPr>
        <w:t>и повышение энергетической эффективности в Ульяновской области»</w:t>
      </w:r>
      <w:r w:rsidR="008A45B7" w:rsidRPr="00B55AC6">
        <w:rPr>
          <w:rFonts w:ascii="PT Astra Serif" w:hAnsi="PT Astra Serif"/>
          <w:sz w:val="28"/>
          <w:szCs w:val="28"/>
        </w:rPr>
        <w:t>.</w:t>
      </w:r>
    </w:p>
    <w:p w:rsidR="008A45B7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B55AC6">
        <w:rPr>
          <w:rFonts w:ascii="PT Astra Serif" w:hAnsi="PT Astra Serif"/>
          <w:sz w:val="28"/>
          <w:szCs w:val="28"/>
        </w:rPr>
        <w:br/>
        <w:t>от 21.11.2023 № 30/595-П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8A45B7" w:rsidRPr="00B55AC6">
        <w:rPr>
          <w:rFonts w:ascii="PT Astra Serif" w:hAnsi="PT Astra Serif"/>
          <w:sz w:val="28"/>
          <w:szCs w:val="28"/>
        </w:rPr>
        <w:t>.</w:t>
      </w:r>
    </w:p>
    <w:p w:rsidR="008A45B7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B55AC6">
        <w:rPr>
          <w:rFonts w:ascii="PT Astra Serif" w:hAnsi="PT Astra Serif"/>
          <w:sz w:val="28"/>
          <w:szCs w:val="28"/>
        </w:rPr>
        <w:br/>
        <w:t>от 30.11.2023  №32/612-П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8A45B7" w:rsidRPr="00B55AC6">
        <w:rPr>
          <w:rFonts w:ascii="PT Astra Serif" w:hAnsi="PT Astra Serif"/>
          <w:sz w:val="28"/>
          <w:szCs w:val="28"/>
        </w:rPr>
        <w:t>.</w:t>
      </w:r>
    </w:p>
    <w:p w:rsidR="00F672AC" w:rsidRPr="006F4C82" w:rsidRDefault="00F672AC" w:rsidP="00F672AC">
      <w:pPr>
        <w:pStyle w:val="a3"/>
        <w:widowControl/>
        <w:ind w:left="709"/>
        <w:jc w:val="both"/>
        <w:rPr>
          <w:rFonts w:ascii="PT Astra Serif" w:hAnsi="PT Astra Serif"/>
          <w:sz w:val="28"/>
          <w:szCs w:val="28"/>
        </w:rPr>
      </w:pPr>
    </w:p>
    <w:p w:rsidR="00D9726C" w:rsidRPr="006F4C82" w:rsidRDefault="009D4777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F4C82">
        <w:rPr>
          <w:rFonts w:ascii="PT Astra Serif" w:hAnsi="PT Astra Serif"/>
          <w:b/>
          <w:sz w:val="28"/>
          <w:szCs w:val="28"/>
        </w:rPr>
        <w:t>2.</w:t>
      </w:r>
      <w:r w:rsidR="00994C48" w:rsidRPr="006F4C82">
        <w:rPr>
          <w:rFonts w:ascii="PT Astra Serif" w:hAnsi="PT Astra Serif"/>
          <w:b/>
          <w:sz w:val="28"/>
          <w:szCs w:val="28"/>
        </w:rPr>
        <w:t>6</w:t>
      </w:r>
      <w:r w:rsidRPr="006F4C82">
        <w:rPr>
          <w:rFonts w:ascii="PT Astra Serif" w:hAnsi="PT Astra Serif"/>
          <w:b/>
          <w:sz w:val="28"/>
          <w:szCs w:val="28"/>
        </w:rPr>
        <w:t xml:space="preserve">. </w:t>
      </w:r>
      <w:r w:rsidR="0037182C" w:rsidRPr="006F4C82">
        <w:rPr>
          <w:rFonts w:ascii="PT Astra Serif" w:hAnsi="PT Astra Serif"/>
          <w:b/>
          <w:sz w:val="28"/>
          <w:szCs w:val="28"/>
        </w:rPr>
        <w:t>Популяризация</w:t>
      </w:r>
      <w:r w:rsidRPr="006F4C82">
        <w:rPr>
          <w:rFonts w:ascii="PT Astra Serif" w:hAnsi="PT Astra Serif"/>
          <w:b/>
          <w:sz w:val="28"/>
          <w:szCs w:val="28"/>
        </w:rPr>
        <w:t xml:space="preserve"> </w:t>
      </w:r>
      <w:r w:rsidR="00C73C29" w:rsidRPr="006F4C82">
        <w:rPr>
          <w:rFonts w:ascii="PT Astra Serif" w:hAnsi="PT Astra Serif"/>
          <w:b/>
          <w:sz w:val="28"/>
          <w:szCs w:val="28"/>
        </w:rPr>
        <w:t xml:space="preserve">энергосбережения и повышения энергетической эффективности </w:t>
      </w:r>
      <w:r w:rsidR="00CC013C" w:rsidRPr="006F4C82">
        <w:rPr>
          <w:rFonts w:ascii="PT Astra Serif" w:hAnsi="PT Astra Serif"/>
          <w:b/>
          <w:sz w:val="28"/>
          <w:szCs w:val="28"/>
        </w:rPr>
        <w:t>в Ульяновской области.</w:t>
      </w:r>
    </w:p>
    <w:p w:rsidR="00F672AC" w:rsidRPr="006F4C82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9188D" w:rsidRPr="006F4C82" w:rsidRDefault="00B06151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В</w:t>
      </w:r>
      <w:r w:rsidR="005D5E10" w:rsidRPr="006F4C82">
        <w:rPr>
          <w:rFonts w:ascii="PT Astra Serif" w:hAnsi="PT Astra Serif"/>
          <w:sz w:val="28"/>
          <w:szCs w:val="28"/>
        </w:rPr>
        <w:t>ажным вопросом энергосбережения является популяризация энергосберегающего образа жизни населения Ульяновской области.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597A36" w:rsidRPr="006F4C82">
        <w:rPr>
          <w:rFonts w:ascii="PT Astra Serif" w:hAnsi="PT Astra Serif"/>
          <w:sz w:val="28"/>
          <w:szCs w:val="28"/>
        </w:rPr>
        <w:t xml:space="preserve">В целях стимулирования на региональном и муниципальном уровнях реализации проектов по повышению энергоэффективности и пропаганды энергосберегающего образа жизни среди населения, под </w:t>
      </w:r>
      <w:r w:rsidR="00C9188D" w:rsidRPr="006F4C82">
        <w:rPr>
          <w:rFonts w:ascii="PT Astra Serif" w:hAnsi="PT Astra Serif"/>
          <w:sz w:val="28"/>
          <w:szCs w:val="28"/>
        </w:rPr>
        <w:t xml:space="preserve">эгидой Минэнерго России </w:t>
      </w:r>
      <w:r w:rsidR="00DC23F1" w:rsidRPr="006F4C82">
        <w:rPr>
          <w:rFonts w:ascii="PT Astra Serif" w:hAnsi="PT Astra Serif"/>
          <w:sz w:val="28"/>
          <w:szCs w:val="28"/>
        </w:rPr>
        <w:t>проведён</w:t>
      </w:r>
      <w:r w:rsidR="0045431F" w:rsidRPr="006F4C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9188D" w:rsidRPr="006F4C82">
        <w:rPr>
          <w:rFonts w:ascii="PT Astra Serif" w:hAnsi="PT Astra Serif"/>
          <w:sz w:val="28"/>
          <w:szCs w:val="28"/>
        </w:rPr>
        <w:t xml:space="preserve">фестиваль энергосбережения </w:t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F24CC7" w:rsidRPr="006F4C82">
        <w:rPr>
          <w:rFonts w:ascii="PT Astra Serif" w:hAnsi="PT Astra Serif"/>
          <w:sz w:val="28"/>
          <w:szCs w:val="28"/>
        </w:rPr>
        <w:t>#</w:t>
      </w:r>
      <w:proofErr w:type="spellStart"/>
      <w:r w:rsidR="00C9188D" w:rsidRPr="006F4C82">
        <w:rPr>
          <w:rFonts w:ascii="PT Astra Serif" w:hAnsi="PT Astra Serif"/>
          <w:sz w:val="28"/>
          <w:szCs w:val="28"/>
        </w:rPr>
        <w:t>ВместеЯрче</w:t>
      </w:r>
      <w:proofErr w:type="spellEnd"/>
      <w:r w:rsidR="00352CA4" w:rsidRPr="006F4C82">
        <w:rPr>
          <w:rFonts w:ascii="PT Astra Serif" w:hAnsi="PT Astra Serif"/>
          <w:sz w:val="28"/>
          <w:szCs w:val="28"/>
        </w:rPr>
        <w:t>»</w:t>
      </w:r>
      <w:r w:rsidR="00AE5D1F" w:rsidRPr="006F4C82">
        <w:rPr>
          <w:rFonts w:ascii="PT Astra Serif" w:hAnsi="PT Astra Serif"/>
          <w:sz w:val="28"/>
          <w:szCs w:val="28"/>
        </w:rPr>
        <w:t>.</w:t>
      </w:r>
    </w:p>
    <w:p w:rsidR="007746EA" w:rsidRPr="006F4C82" w:rsidRDefault="007746EA" w:rsidP="004616A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 xml:space="preserve">В рамках фестиваля </w:t>
      </w:r>
      <w:r w:rsidR="008D47C6" w:rsidRPr="006F4C82">
        <w:rPr>
          <w:rFonts w:ascii="PT Astra Serif" w:eastAsia="Times New Roman" w:hAnsi="PT Astra Serif"/>
          <w:sz w:val="28"/>
          <w:szCs w:val="28"/>
          <w:lang w:eastAsia="ru-RU"/>
        </w:rPr>
        <w:t>Министерством просвещения и воспитания Ульяновской области</w:t>
      </w:r>
      <w:r w:rsidRPr="006F4C82">
        <w:rPr>
          <w:rFonts w:ascii="PT Astra Serif" w:hAnsi="PT Astra Serif"/>
          <w:sz w:val="28"/>
          <w:szCs w:val="28"/>
        </w:rPr>
        <w:t xml:space="preserve"> проводится ежегодный региональный этап Всероссийского конкурса творческих, проектных и исследовательск</w:t>
      </w:r>
      <w:r w:rsidR="008E140D" w:rsidRPr="006F4C82">
        <w:rPr>
          <w:rFonts w:ascii="PT Astra Serif" w:hAnsi="PT Astra Serif"/>
          <w:sz w:val="28"/>
          <w:szCs w:val="28"/>
        </w:rPr>
        <w:t xml:space="preserve">их работ учащихся </w:t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8E140D" w:rsidRPr="006F4C82">
        <w:rPr>
          <w:rFonts w:ascii="PT Astra Serif" w:hAnsi="PT Astra Serif"/>
          <w:sz w:val="28"/>
          <w:szCs w:val="28"/>
        </w:rPr>
        <w:t>#</w:t>
      </w:r>
      <w:proofErr w:type="spellStart"/>
      <w:r w:rsidR="008E140D" w:rsidRPr="006F4C82">
        <w:rPr>
          <w:rFonts w:ascii="PT Astra Serif" w:hAnsi="PT Astra Serif"/>
          <w:sz w:val="28"/>
          <w:szCs w:val="28"/>
        </w:rPr>
        <w:t>ВместеЯрче</w:t>
      </w:r>
      <w:proofErr w:type="spellEnd"/>
      <w:r w:rsidR="00352CA4" w:rsidRPr="006F4C82">
        <w:rPr>
          <w:rFonts w:ascii="PT Astra Serif" w:hAnsi="PT Astra Serif"/>
          <w:sz w:val="28"/>
          <w:szCs w:val="28"/>
        </w:rPr>
        <w:t>»</w:t>
      </w:r>
      <w:r w:rsidR="008E140D" w:rsidRPr="006F4C82">
        <w:rPr>
          <w:rFonts w:ascii="PT Astra Serif" w:hAnsi="PT Astra Serif"/>
          <w:sz w:val="28"/>
          <w:szCs w:val="28"/>
        </w:rPr>
        <w:t>, в</w:t>
      </w:r>
      <w:r w:rsidRPr="006F4C82">
        <w:rPr>
          <w:rFonts w:ascii="PT Astra Serif" w:hAnsi="PT Astra Serif"/>
          <w:sz w:val="28"/>
          <w:szCs w:val="28"/>
        </w:rPr>
        <w:t xml:space="preserve"> соответствии с распоряжением</w:t>
      </w:r>
      <w:r w:rsidR="008D4C07" w:rsidRPr="006F4C82">
        <w:rPr>
          <w:rFonts w:ascii="PT Astra Serif" w:hAnsi="PT Astra Serif"/>
          <w:sz w:val="28"/>
          <w:szCs w:val="28"/>
        </w:rPr>
        <w:t xml:space="preserve"> Министерства просвещения и воспитания Ульяновской области </w:t>
      </w:r>
      <w:r w:rsidRPr="006F4C82">
        <w:rPr>
          <w:rFonts w:ascii="PT Astra Serif" w:hAnsi="PT Astra Serif"/>
          <w:sz w:val="28"/>
          <w:szCs w:val="28"/>
        </w:rPr>
        <w:t xml:space="preserve"> от </w:t>
      </w:r>
      <w:r w:rsidR="005E7FC7" w:rsidRPr="006F4C82">
        <w:rPr>
          <w:rFonts w:ascii="PT Astra Serif" w:hAnsi="PT Astra Serif"/>
          <w:sz w:val="28"/>
          <w:szCs w:val="28"/>
        </w:rPr>
        <w:t>20</w:t>
      </w:r>
      <w:r w:rsidRPr="006F4C82">
        <w:rPr>
          <w:rFonts w:ascii="PT Astra Serif" w:hAnsi="PT Astra Serif"/>
          <w:sz w:val="28"/>
          <w:szCs w:val="28"/>
        </w:rPr>
        <w:t>.0</w:t>
      </w:r>
      <w:r w:rsidR="0074531D" w:rsidRPr="006F4C82">
        <w:rPr>
          <w:rFonts w:ascii="PT Astra Serif" w:hAnsi="PT Astra Serif"/>
          <w:sz w:val="28"/>
          <w:szCs w:val="28"/>
        </w:rPr>
        <w:t>6</w:t>
      </w:r>
      <w:r w:rsidRPr="006F4C82">
        <w:rPr>
          <w:rFonts w:ascii="PT Astra Serif" w:hAnsi="PT Astra Serif"/>
          <w:sz w:val="28"/>
          <w:szCs w:val="28"/>
        </w:rPr>
        <w:t>.20</w:t>
      </w:r>
      <w:r w:rsidR="0074531D" w:rsidRPr="006F4C82">
        <w:rPr>
          <w:rFonts w:ascii="PT Astra Serif" w:hAnsi="PT Astra Serif"/>
          <w:sz w:val="28"/>
          <w:szCs w:val="28"/>
        </w:rPr>
        <w:t>2</w:t>
      </w:r>
      <w:r w:rsidR="005E7FC7" w:rsidRPr="006F4C82">
        <w:rPr>
          <w:rFonts w:ascii="PT Astra Serif" w:hAnsi="PT Astra Serif"/>
          <w:sz w:val="28"/>
          <w:szCs w:val="28"/>
        </w:rPr>
        <w:t>3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CC7B33" w:rsidRPr="006F4C82">
        <w:rPr>
          <w:rFonts w:ascii="PT Astra Serif" w:hAnsi="PT Astra Serif"/>
          <w:sz w:val="28"/>
          <w:szCs w:val="28"/>
        </w:rPr>
        <w:br/>
      </w:r>
      <w:r w:rsidRPr="006F4C82">
        <w:rPr>
          <w:rFonts w:ascii="PT Astra Serif" w:hAnsi="PT Astra Serif"/>
          <w:sz w:val="28"/>
          <w:szCs w:val="28"/>
        </w:rPr>
        <w:t xml:space="preserve">№ </w:t>
      </w:r>
      <w:r w:rsidR="005E7FC7" w:rsidRPr="006F4C82">
        <w:rPr>
          <w:rFonts w:ascii="PT Astra Serif" w:hAnsi="PT Astra Serif"/>
          <w:sz w:val="28"/>
          <w:szCs w:val="28"/>
        </w:rPr>
        <w:t>1221</w:t>
      </w:r>
      <w:r w:rsidRPr="006F4C82">
        <w:rPr>
          <w:rFonts w:ascii="PT Astra Serif" w:hAnsi="PT Astra Serif"/>
          <w:sz w:val="28"/>
          <w:szCs w:val="28"/>
        </w:rPr>
        <w:t xml:space="preserve">-р </w:t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264C61" w:rsidRPr="006F4C82">
        <w:rPr>
          <w:rFonts w:ascii="PT Astra Serif" w:hAnsi="PT Astra Serif"/>
          <w:sz w:val="28"/>
          <w:szCs w:val="28"/>
        </w:rPr>
        <w:t>О проведении регионального этапа Всероссийского конкурса творческих, проектных и исследовательских работ учащихся «#</w:t>
      </w:r>
      <w:proofErr w:type="spellStart"/>
      <w:r w:rsidR="00264C61" w:rsidRPr="006F4C82">
        <w:rPr>
          <w:rFonts w:ascii="PT Astra Serif" w:hAnsi="PT Astra Serif"/>
          <w:sz w:val="28"/>
          <w:szCs w:val="28"/>
        </w:rPr>
        <w:t>ВместеЯрче</w:t>
      </w:r>
      <w:proofErr w:type="spellEnd"/>
      <w:r w:rsidR="00264C61" w:rsidRPr="006F4C82">
        <w:rPr>
          <w:rFonts w:ascii="PT Astra Serif" w:hAnsi="PT Astra Serif"/>
          <w:sz w:val="28"/>
          <w:szCs w:val="28"/>
        </w:rPr>
        <w:t>»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576CCD">
        <w:rPr>
          <w:rFonts w:ascii="PT Astra Serif" w:hAnsi="PT Astra Serif"/>
          <w:sz w:val="28"/>
          <w:szCs w:val="28"/>
        </w:rPr>
        <w:t>проведены</w:t>
      </w:r>
      <w:r w:rsidRPr="006F4C82">
        <w:rPr>
          <w:rFonts w:ascii="PT Astra Serif" w:hAnsi="PT Astra Serif"/>
          <w:sz w:val="28"/>
          <w:szCs w:val="28"/>
        </w:rPr>
        <w:t xml:space="preserve"> конкурсы рисунков в образовательных организациях общего </w:t>
      </w:r>
      <w:r w:rsidR="001818CD" w:rsidRPr="006F4C82">
        <w:rPr>
          <w:rFonts w:ascii="PT Astra Serif" w:hAnsi="PT Astra Serif"/>
          <w:sz w:val="28"/>
          <w:szCs w:val="28"/>
        </w:rPr>
        <w:br/>
      </w:r>
      <w:r w:rsidRPr="006F4C82">
        <w:rPr>
          <w:rFonts w:ascii="PT Astra Serif" w:hAnsi="PT Astra Serif"/>
          <w:sz w:val="28"/>
          <w:szCs w:val="28"/>
        </w:rPr>
        <w:t>и дополнительного образования</w:t>
      </w:r>
      <w:r w:rsidR="00F24CC7" w:rsidRPr="006F4C82">
        <w:rPr>
          <w:rFonts w:ascii="PT Astra Serif" w:hAnsi="PT Astra Serif"/>
          <w:sz w:val="28"/>
          <w:szCs w:val="28"/>
        </w:rPr>
        <w:t>:</w:t>
      </w:r>
    </w:p>
    <w:p w:rsidR="00FA5E15" w:rsidRPr="006F4C82" w:rsidRDefault="009A2666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Конкурс рисунков и плакатов по теме: «</w:t>
      </w:r>
      <w:r w:rsidR="005E7FC7" w:rsidRPr="006F4C82">
        <w:rPr>
          <w:rFonts w:ascii="PT Astra Serif" w:hAnsi="PT Astra Serif"/>
          <w:sz w:val="28"/>
          <w:szCs w:val="28"/>
        </w:rPr>
        <w:t>Магия света</w:t>
      </w:r>
      <w:r w:rsidRPr="006F4C82">
        <w:rPr>
          <w:rFonts w:ascii="PT Astra Serif" w:hAnsi="PT Astra Serif"/>
          <w:sz w:val="28"/>
          <w:szCs w:val="28"/>
        </w:rPr>
        <w:t>» для обучающихся дошкольных учреждений 1-4 классов</w:t>
      </w:r>
      <w:r w:rsidR="00F24CC7" w:rsidRPr="006F4C82">
        <w:rPr>
          <w:rFonts w:ascii="PT Astra Serif" w:hAnsi="PT Astra Serif"/>
          <w:sz w:val="28"/>
          <w:szCs w:val="28"/>
        </w:rPr>
        <w:t>;</w:t>
      </w:r>
    </w:p>
    <w:p w:rsidR="00FA5E15" w:rsidRPr="006F4C82" w:rsidRDefault="009A2666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Конкурс сочинений на тему: «</w:t>
      </w:r>
      <w:r w:rsidR="005E7FC7" w:rsidRPr="006F4C82">
        <w:rPr>
          <w:rFonts w:ascii="PT Astra Serif" w:hAnsi="PT Astra Serif"/>
          <w:sz w:val="28"/>
          <w:szCs w:val="28"/>
        </w:rPr>
        <w:t>Жить – значит работать</w:t>
      </w:r>
      <w:r w:rsidRPr="006F4C82">
        <w:rPr>
          <w:rFonts w:ascii="PT Astra Serif" w:hAnsi="PT Astra Serif"/>
          <w:sz w:val="28"/>
          <w:szCs w:val="28"/>
        </w:rPr>
        <w:t>»</w:t>
      </w:r>
      <w:r w:rsidR="005E7FC7" w:rsidRPr="006F4C82">
        <w:rPr>
          <w:rFonts w:ascii="PT Astra Serif" w:hAnsi="PT Astra Serif"/>
          <w:sz w:val="28"/>
          <w:szCs w:val="28"/>
        </w:rPr>
        <w:t xml:space="preserve">. 150 лет со дня рождения К.А. Круга (династии в энергетики, промышленности </w:t>
      </w:r>
      <w:r w:rsidR="005E7FC7" w:rsidRPr="006F4C82">
        <w:rPr>
          <w:rFonts w:ascii="PT Astra Serif" w:hAnsi="PT Astra Serif"/>
          <w:sz w:val="28"/>
          <w:szCs w:val="28"/>
        </w:rPr>
        <w:br/>
        <w:t>и инженерном деле)</w:t>
      </w:r>
      <w:r w:rsidRPr="006F4C82">
        <w:rPr>
          <w:rFonts w:ascii="PT Astra Serif" w:hAnsi="PT Astra Serif"/>
          <w:sz w:val="28"/>
          <w:szCs w:val="28"/>
        </w:rPr>
        <w:t xml:space="preserve"> для обучающихся 5-11 классов</w:t>
      </w:r>
      <w:r w:rsidR="00F24CC7" w:rsidRPr="006F4C82">
        <w:rPr>
          <w:rFonts w:ascii="PT Astra Serif" w:hAnsi="PT Astra Serif"/>
          <w:sz w:val="28"/>
          <w:szCs w:val="28"/>
        </w:rPr>
        <w:t>;</w:t>
      </w:r>
    </w:p>
    <w:p w:rsidR="00B30C07" w:rsidRPr="006F4C82" w:rsidRDefault="009A2666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Конкурс творческих и исследовательских проектов по тематическому направлению: «</w:t>
      </w:r>
      <w:r w:rsidR="00AD6668" w:rsidRPr="006F4C82">
        <w:rPr>
          <w:rFonts w:ascii="PT Astra Serif" w:hAnsi="PT Astra Serif"/>
          <w:sz w:val="28"/>
          <w:szCs w:val="28"/>
        </w:rPr>
        <w:t>Прорывные технологии будущего</w:t>
      </w:r>
      <w:r w:rsidRPr="006F4C82">
        <w:rPr>
          <w:rFonts w:ascii="PT Astra Serif" w:hAnsi="PT Astra Serif"/>
          <w:sz w:val="28"/>
          <w:szCs w:val="28"/>
        </w:rPr>
        <w:t>» для обучающихся 10-11 классов и 1-2 курса учреждений СПО</w:t>
      </w:r>
      <w:r w:rsidR="00F24CC7" w:rsidRPr="006F4C82">
        <w:rPr>
          <w:rFonts w:ascii="PT Astra Serif" w:hAnsi="PT Astra Serif"/>
          <w:sz w:val="28"/>
          <w:szCs w:val="28"/>
        </w:rPr>
        <w:t>;</w:t>
      </w:r>
    </w:p>
    <w:p w:rsidR="005D3B9D" w:rsidRPr="005629F1" w:rsidRDefault="005D3B9D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Меро</w:t>
      </w:r>
      <w:r w:rsidR="009A2666" w:rsidRPr="006F4C82">
        <w:rPr>
          <w:rFonts w:ascii="PT Astra Serif" w:hAnsi="PT Astra Serif"/>
          <w:sz w:val="28"/>
          <w:szCs w:val="28"/>
        </w:rPr>
        <w:t>приятия Фестиваля проведены в 17</w:t>
      </w:r>
      <w:r w:rsidRPr="006F4C82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области. В мер</w:t>
      </w:r>
      <w:r w:rsidR="003D49BB" w:rsidRPr="006F4C82">
        <w:rPr>
          <w:rFonts w:ascii="PT Astra Serif" w:hAnsi="PT Astra Serif"/>
          <w:sz w:val="28"/>
          <w:szCs w:val="28"/>
        </w:rPr>
        <w:t xml:space="preserve">оприятия фестиваля вовлечены </w:t>
      </w:r>
      <w:r w:rsidR="00AD6668" w:rsidRPr="006F4C82">
        <w:rPr>
          <w:rFonts w:ascii="PT Astra Serif" w:hAnsi="PT Astra Serif"/>
          <w:sz w:val="28"/>
          <w:szCs w:val="28"/>
        </w:rPr>
        <w:t>5</w:t>
      </w:r>
      <w:r w:rsidR="009A2666" w:rsidRPr="006F4C82">
        <w:rPr>
          <w:rFonts w:ascii="PT Astra Serif" w:hAnsi="PT Astra Serif"/>
          <w:sz w:val="28"/>
          <w:szCs w:val="28"/>
        </w:rPr>
        <w:t>0</w:t>
      </w:r>
      <w:r w:rsidRPr="006F4C82">
        <w:rPr>
          <w:rFonts w:ascii="PT Astra Serif" w:hAnsi="PT Astra Serif"/>
          <w:sz w:val="28"/>
          <w:szCs w:val="28"/>
        </w:rPr>
        <w:t xml:space="preserve"> общеобразовательных организаций, </w:t>
      </w:r>
      <w:r w:rsidR="00AD6668" w:rsidRPr="006F4C82">
        <w:rPr>
          <w:rFonts w:ascii="PT Astra Serif" w:hAnsi="PT Astra Serif"/>
          <w:sz w:val="28"/>
          <w:szCs w:val="28"/>
        </w:rPr>
        <w:t>10</w:t>
      </w:r>
      <w:r w:rsidR="003D49BB" w:rsidRPr="006F4C82">
        <w:rPr>
          <w:rFonts w:ascii="PT Astra Serif" w:hAnsi="PT Astra Serif"/>
          <w:sz w:val="28"/>
          <w:szCs w:val="28"/>
        </w:rPr>
        <w:t xml:space="preserve"> организаций</w:t>
      </w:r>
      <w:r w:rsidR="009A2666" w:rsidRPr="006F4C82">
        <w:rPr>
          <w:rFonts w:ascii="PT Astra Serif" w:hAnsi="PT Astra Serif"/>
          <w:sz w:val="28"/>
          <w:szCs w:val="28"/>
        </w:rPr>
        <w:t xml:space="preserve"> дополнительного образования, 1 организация среднего профессионального образования.</w:t>
      </w:r>
      <w:r w:rsidRPr="005629F1">
        <w:rPr>
          <w:rFonts w:ascii="PT Astra Serif" w:hAnsi="PT Astra Serif"/>
          <w:sz w:val="28"/>
          <w:szCs w:val="28"/>
        </w:rPr>
        <w:t xml:space="preserve"> </w:t>
      </w:r>
    </w:p>
    <w:p w:rsidR="00E52497" w:rsidRDefault="00E52497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16644" w:rsidRDefault="009D4777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lastRenderedPageBreak/>
        <w:t>2.</w:t>
      </w:r>
      <w:r w:rsidR="00994C48" w:rsidRPr="005629F1">
        <w:rPr>
          <w:rFonts w:ascii="PT Astra Serif" w:hAnsi="PT Astra Serif"/>
          <w:b/>
          <w:sz w:val="28"/>
          <w:szCs w:val="28"/>
        </w:rPr>
        <w:t>7</w:t>
      </w:r>
      <w:r w:rsidRPr="005629F1">
        <w:rPr>
          <w:rFonts w:ascii="PT Astra Serif" w:hAnsi="PT Astra Serif"/>
          <w:b/>
          <w:sz w:val="28"/>
          <w:szCs w:val="28"/>
        </w:rPr>
        <w:t xml:space="preserve">. </w:t>
      </w:r>
      <w:proofErr w:type="spellStart"/>
      <w:r w:rsidR="00F151A2" w:rsidRPr="005629F1">
        <w:rPr>
          <w:rFonts w:ascii="PT Astra Serif" w:hAnsi="PT Astra Serif"/>
          <w:b/>
          <w:sz w:val="28"/>
          <w:szCs w:val="28"/>
        </w:rPr>
        <w:t>Э</w:t>
      </w:r>
      <w:r w:rsidR="00816644" w:rsidRPr="005629F1">
        <w:rPr>
          <w:rFonts w:ascii="PT Astra Serif" w:hAnsi="PT Astra Serif"/>
          <w:b/>
          <w:sz w:val="28"/>
          <w:szCs w:val="28"/>
        </w:rPr>
        <w:t>нергомене</w:t>
      </w:r>
      <w:r w:rsidR="00F151A2" w:rsidRPr="005629F1">
        <w:rPr>
          <w:rFonts w:ascii="PT Astra Serif" w:hAnsi="PT Astra Serif"/>
          <w:b/>
          <w:sz w:val="28"/>
          <w:szCs w:val="28"/>
        </w:rPr>
        <w:t>джмент</w:t>
      </w:r>
      <w:proofErr w:type="spellEnd"/>
      <w:r w:rsidR="00816644" w:rsidRPr="005629F1">
        <w:rPr>
          <w:rFonts w:ascii="PT Astra Serif" w:hAnsi="PT Astra Serif"/>
          <w:b/>
          <w:sz w:val="28"/>
          <w:szCs w:val="28"/>
        </w:rPr>
        <w:t xml:space="preserve"> в организациях бюджетной сферы</w:t>
      </w:r>
      <w:r w:rsidR="00816644" w:rsidRPr="005629F1">
        <w:rPr>
          <w:rFonts w:ascii="PT Astra Serif" w:hAnsi="PT Astra Serif"/>
          <w:sz w:val="28"/>
          <w:szCs w:val="28"/>
        </w:rPr>
        <w:t xml:space="preserve"> </w:t>
      </w:r>
      <w:r w:rsidR="00816644" w:rsidRPr="005629F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619A9" w:rsidRPr="005629F1" w:rsidRDefault="00816644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 xml:space="preserve">В условиях постоянно растущих цен на </w:t>
      </w:r>
      <w:r w:rsidR="00492D77" w:rsidRPr="005629F1">
        <w:rPr>
          <w:rFonts w:ascii="PT Astra Serif" w:hAnsi="PT Astra Serif"/>
          <w:sz w:val="28"/>
          <w:szCs w:val="28"/>
        </w:rPr>
        <w:t>топливно-энергетические ресурсы</w:t>
      </w:r>
      <w:r w:rsidRPr="005629F1">
        <w:rPr>
          <w:rFonts w:ascii="PT Astra Serif" w:hAnsi="PT Astra Serif"/>
          <w:sz w:val="28"/>
          <w:szCs w:val="28"/>
        </w:rPr>
        <w:t>, дефицита средств областно</w:t>
      </w:r>
      <w:r w:rsidR="000619A9" w:rsidRPr="005629F1">
        <w:rPr>
          <w:rFonts w:ascii="PT Astra Serif" w:hAnsi="PT Astra Serif"/>
          <w:sz w:val="28"/>
          <w:szCs w:val="28"/>
        </w:rPr>
        <w:t>го</w:t>
      </w:r>
      <w:r w:rsidRPr="005629F1">
        <w:rPr>
          <w:rFonts w:ascii="PT Astra Serif" w:hAnsi="PT Astra Serif"/>
          <w:sz w:val="28"/>
          <w:szCs w:val="28"/>
        </w:rPr>
        <w:t xml:space="preserve"> и местных бюджет</w:t>
      </w:r>
      <w:r w:rsidR="000619A9" w:rsidRPr="005629F1">
        <w:rPr>
          <w:rFonts w:ascii="PT Astra Serif" w:hAnsi="PT Astra Serif"/>
          <w:sz w:val="28"/>
          <w:szCs w:val="28"/>
        </w:rPr>
        <w:t xml:space="preserve">ов </w:t>
      </w:r>
      <w:r w:rsidRPr="005629F1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особую актуальность для бюджетных учреждений приобретает </w:t>
      </w:r>
      <w:proofErr w:type="spellStart"/>
      <w:r w:rsidRPr="005629F1">
        <w:rPr>
          <w:rFonts w:ascii="PT Astra Serif" w:hAnsi="PT Astra Serif"/>
          <w:sz w:val="28"/>
          <w:szCs w:val="28"/>
        </w:rPr>
        <w:t>энергоменеджмент</w:t>
      </w:r>
      <w:proofErr w:type="spellEnd"/>
      <w:r w:rsidRPr="005629F1">
        <w:rPr>
          <w:rFonts w:ascii="PT Astra Serif" w:hAnsi="PT Astra Serif"/>
          <w:sz w:val="28"/>
          <w:szCs w:val="28"/>
        </w:rPr>
        <w:t xml:space="preserve"> – управление и оптимизация энергопотребления и затрат на энергоносители.</w:t>
      </w:r>
    </w:p>
    <w:p w:rsidR="00816644" w:rsidRPr="005629F1" w:rsidRDefault="00816644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Для внедрения принципов энергетического менеджмента в бюджетных организациях Ульяновской области используется следующая методология: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>разработк</w:t>
      </w:r>
      <w:r w:rsidR="00C521B4" w:rsidRPr="005629F1">
        <w:rPr>
          <w:rFonts w:ascii="PT Astra Serif" w:hAnsi="PT Astra Serif"/>
          <w:sz w:val="28"/>
          <w:szCs w:val="28"/>
        </w:rPr>
        <w:t xml:space="preserve">а программы энергосбережения и </w:t>
      </w:r>
      <w:r w:rsidR="00816644" w:rsidRPr="005629F1">
        <w:rPr>
          <w:rFonts w:ascii="PT Astra Serif" w:hAnsi="PT Astra Serif"/>
          <w:sz w:val="28"/>
          <w:szCs w:val="28"/>
        </w:rPr>
        <w:t>повышени</w:t>
      </w:r>
      <w:r w:rsidR="00C521B4" w:rsidRPr="005629F1">
        <w:rPr>
          <w:rFonts w:ascii="PT Astra Serif" w:hAnsi="PT Astra Serif"/>
          <w:sz w:val="28"/>
          <w:szCs w:val="28"/>
        </w:rPr>
        <w:t>я</w:t>
      </w:r>
      <w:r w:rsidR="00816644" w:rsidRPr="005629F1">
        <w:rPr>
          <w:rFonts w:ascii="PT Astra Serif" w:hAnsi="PT Astra Serif"/>
          <w:sz w:val="28"/>
          <w:szCs w:val="28"/>
        </w:rPr>
        <w:t xml:space="preserve"> энергетической эффективности в каждом бюджетном учреждении Ульяновской области;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>организация финансового учёта экономического эффекта от проведения энергосберегающих мероприятий и организация рефинансирования части экономии в проведение новых энергосберегающих мероприятий в профильных министерствах и ведомствах;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 xml:space="preserve">назначение лиц ответственных за состояние энергосбережения </w:t>
      </w:r>
      <w:r w:rsidR="00492D77" w:rsidRPr="005629F1">
        <w:rPr>
          <w:rFonts w:ascii="PT Astra Serif" w:hAnsi="PT Astra Serif"/>
          <w:sz w:val="28"/>
          <w:szCs w:val="28"/>
        </w:rPr>
        <w:br/>
      </w:r>
      <w:r w:rsidR="00816644" w:rsidRPr="005629F1">
        <w:rPr>
          <w:rFonts w:ascii="PT Astra Serif" w:hAnsi="PT Astra Serif"/>
          <w:sz w:val="28"/>
          <w:szCs w:val="28"/>
        </w:rPr>
        <w:t>и повышение энергетической эффективности в каждом бюджетном учреждении;</w:t>
      </w:r>
    </w:p>
    <w:p w:rsidR="00C521B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C521B4" w:rsidRPr="005629F1">
        <w:rPr>
          <w:rFonts w:ascii="PT Astra Serif" w:hAnsi="PT Astra Serif"/>
          <w:sz w:val="28"/>
          <w:szCs w:val="28"/>
        </w:rPr>
        <w:t xml:space="preserve">постоянное обучение персонала и лиц ответственных </w:t>
      </w:r>
      <w:r w:rsidR="001E1822" w:rsidRPr="005629F1">
        <w:rPr>
          <w:rFonts w:ascii="PT Astra Serif" w:hAnsi="PT Astra Serif"/>
          <w:sz w:val="28"/>
          <w:szCs w:val="28"/>
        </w:rPr>
        <w:br/>
      </w:r>
      <w:r w:rsidR="00C521B4" w:rsidRPr="005629F1">
        <w:rPr>
          <w:rFonts w:ascii="PT Astra Serif" w:hAnsi="PT Astra Serif"/>
          <w:sz w:val="28"/>
          <w:szCs w:val="28"/>
        </w:rPr>
        <w:t>за энергосбережение</w:t>
      </w:r>
      <w:r w:rsidR="00C521B4" w:rsidRPr="005629F1">
        <w:rPr>
          <w:rFonts w:ascii="PT Astra Serif" w:hAnsi="PT Astra Serif"/>
        </w:rPr>
        <w:t xml:space="preserve"> </w:t>
      </w:r>
      <w:r w:rsidR="00C521B4" w:rsidRPr="005629F1">
        <w:rPr>
          <w:rFonts w:ascii="PT Astra Serif" w:hAnsi="PT Astra Serif"/>
          <w:sz w:val="28"/>
          <w:szCs w:val="28"/>
        </w:rPr>
        <w:t>и повышения энергетической эффективности;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FE4" w:rsidRPr="005629F1">
        <w:rPr>
          <w:rFonts w:ascii="PT Astra Serif" w:hAnsi="PT Astra Serif"/>
          <w:sz w:val="28"/>
          <w:szCs w:val="28"/>
        </w:rPr>
        <w:t>популяризация</w:t>
      </w:r>
      <w:r w:rsidR="00816644" w:rsidRPr="005629F1">
        <w:rPr>
          <w:rFonts w:ascii="PT Astra Serif" w:hAnsi="PT Astra Serif"/>
          <w:sz w:val="28"/>
          <w:szCs w:val="28"/>
        </w:rPr>
        <w:t xml:space="preserve"> энергосбере</w:t>
      </w:r>
      <w:r w:rsidR="006A3FE4" w:rsidRPr="005629F1">
        <w:rPr>
          <w:rFonts w:ascii="PT Astra Serif" w:hAnsi="PT Astra Serif"/>
          <w:sz w:val="28"/>
          <w:szCs w:val="28"/>
        </w:rPr>
        <w:t>гающего образа жизни</w:t>
      </w:r>
      <w:r w:rsidR="00816644" w:rsidRPr="005629F1">
        <w:rPr>
          <w:rFonts w:ascii="PT Astra Serif" w:hAnsi="PT Astra Serif"/>
          <w:sz w:val="28"/>
          <w:szCs w:val="28"/>
        </w:rPr>
        <w:t>.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D4ABA" w:rsidRPr="00DD7A52" w:rsidRDefault="00937E0E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  <w:r w:rsidRPr="00DD7A52">
        <w:rPr>
          <w:rFonts w:ascii="PT Astra Serif" w:eastAsia="Times New Roman" w:hAnsi="PT Astra Serif"/>
          <w:b/>
          <w:sz w:val="28"/>
          <w:szCs w:val="28"/>
        </w:rPr>
        <w:t>2.</w:t>
      </w:r>
      <w:r w:rsidR="00994C48" w:rsidRPr="00DD7A52">
        <w:rPr>
          <w:rFonts w:ascii="PT Astra Serif" w:eastAsia="Times New Roman" w:hAnsi="PT Astra Serif"/>
          <w:b/>
          <w:sz w:val="28"/>
          <w:szCs w:val="28"/>
        </w:rPr>
        <w:t>8</w:t>
      </w:r>
      <w:r w:rsidRPr="00DD7A52">
        <w:rPr>
          <w:rFonts w:ascii="PT Astra Serif" w:eastAsia="Times New Roman" w:hAnsi="PT Astra Serif"/>
          <w:b/>
          <w:sz w:val="28"/>
          <w:szCs w:val="28"/>
        </w:rPr>
        <w:t>.</w:t>
      </w:r>
      <w:r w:rsidR="009D4777" w:rsidRPr="00DD7A52">
        <w:rPr>
          <w:rFonts w:ascii="PT Astra Serif" w:eastAsia="Times New Roman" w:hAnsi="PT Astra Serif"/>
          <w:b/>
          <w:sz w:val="28"/>
          <w:szCs w:val="28"/>
        </w:rPr>
        <w:t xml:space="preserve"> </w:t>
      </w:r>
      <w:proofErr w:type="spellStart"/>
      <w:r w:rsidR="00A867F8" w:rsidRPr="00DD7A52">
        <w:rPr>
          <w:rFonts w:ascii="PT Astra Serif" w:eastAsia="Times New Roman" w:hAnsi="PT Astra Serif"/>
          <w:b/>
          <w:sz w:val="28"/>
          <w:szCs w:val="28"/>
        </w:rPr>
        <w:t>Э</w:t>
      </w:r>
      <w:r w:rsidR="00CD4ABA" w:rsidRPr="00DD7A52">
        <w:rPr>
          <w:rFonts w:ascii="PT Astra Serif" w:eastAsia="Times New Roman" w:hAnsi="PT Astra Serif"/>
          <w:b/>
          <w:sz w:val="28"/>
          <w:szCs w:val="28"/>
        </w:rPr>
        <w:t>нергосервисн</w:t>
      </w:r>
      <w:r w:rsidR="00A867F8" w:rsidRPr="00DD7A52">
        <w:rPr>
          <w:rFonts w:ascii="PT Astra Serif" w:eastAsia="Times New Roman" w:hAnsi="PT Astra Serif"/>
          <w:b/>
          <w:sz w:val="28"/>
          <w:szCs w:val="28"/>
        </w:rPr>
        <w:t>ая</w:t>
      </w:r>
      <w:proofErr w:type="spellEnd"/>
      <w:r w:rsidR="00A867F8" w:rsidRPr="00DD7A52">
        <w:rPr>
          <w:rFonts w:ascii="PT Astra Serif" w:eastAsia="Times New Roman" w:hAnsi="PT Astra Serif"/>
          <w:b/>
          <w:sz w:val="28"/>
          <w:szCs w:val="28"/>
        </w:rPr>
        <w:t xml:space="preserve"> деятельность </w:t>
      </w:r>
      <w:r w:rsidR="00CD4ABA" w:rsidRPr="00DD7A52">
        <w:rPr>
          <w:rFonts w:ascii="PT Astra Serif" w:eastAsia="Times New Roman" w:hAnsi="PT Astra Serif"/>
          <w:b/>
          <w:sz w:val="28"/>
          <w:szCs w:val="28"/>
        </w:rPr>
        <w:t>на</w:t>
      </w:r>
      <w:r w:rsidR="00B31FED" w:rsidRPr="00DD7A52">
        <w:rPr>
          <w:rFonts w:ascii="PT Astra Serif" w:eastAsia="Times New Roman" w:hAnsi="PT Astra Serif"/>
          <w:b/>
          <w:sz w:val="28"/>
          <w:szCs w:val="28"/>
        </w:rPr>
        <w:t xml:space="preserve"> территории Ульяновской области</w:t>
      </w:r>
    </w:p>
    <w:p w:rsidR="00F672AC" w:rsidRPr="00DD7A52" w:rsidRDefault="00F672AC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/>
          <w:sz w:val="28"/>
          <w:szCs w:val="28"/>
        </w:rPr>
      </w:pPr>
    </w:p>
    <w:p w:rsidR="00562A8D" w:rsidRPr="00DD7A52" w:rsidRDefault="00562A8D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Источником информации о </w:t>
      </w:r>
      <w:r w:rsidR="00DD7A52">
        <w:rPr>
          <w:rFonts w:ascii="PT Astra Serif" w:eastAsia="Times New Roman" w:hAnsi="PT Astra Serif"/>
          <w:sz w:val="28"/>
          <w:szCs w:val="28"/>
        </w:rPr>
        <w:t xml:space="preserve">заключенных </w:t>
      </w:r>
      <w:proofErr w:type="spellStart"/>
      <w:r w:rsidR="00DD7A52">
        <w:rPr>
          <w:rFonts w:ascii="PT Astra Serif" w:eastAsia="Times New Roman" w:hAnsi="PT Astra Serif"/>
          <w:sz w:val="28"/>
          <w:szCs w:val="28"/>
        </w:rPr>
        <w:t>энергосервисных</w:t>
      </w:r>
      <w:proofErr w:type="spellEnd"/>
      <w:r w:rsidR="00DD7A52">
        <w:rPr>
          <w:rFonts w:ascii="PT Astra Serif" w:eastAsia="Times New Roman" w:hAnsi="PT Astra Serif"/>
          <w:sz w:val="28"/>
          <w:szCs w:val="28"/>
        </w:rPr>
        <w:t xml:space="preserve"> договорах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являлись данные </w:t>
      </w:r>
      <w:r w:rsidR="00046A0D" w:rsidRPr="00DD7A52">
        <w:rPr>
          <w:rFonts w:ascii="PT Astra Serif" w:eastAsia="Times New Roman" w:hAnsi="PT Astra Serif"/>
          <w:sz w:val="28"/>
          <w:szCs w:val="28"/>
        </w:rPr>
        <w:t>муниципальных образований</w:t>
      </w:r>
      <w:r w:rsidR="00982780" w:rsidRPr="00DD7A52">
        <w:rPr>
          <w:rFonts w:ascii="PT Astra Serif" w:eastAsia="Times New Roman" w:hAnsi="PT Astra Serif"/>
          <w:sz w:val="28"/>
          <w:szCs w:val="28"/>
        </w:rPr>
        <w:t xml:space="preserve"> и </w:t>
      </w:r>
      <w:r w:rsidR="00F672AC" w:rsidRPr="00DD7A52">
        <w:rPr>
          <w:rFonts w:ascii="PT Astra Serif" w:eastAsia="Times New Roman" w:hAnsi="PT Astra Serif"/>
          <w:sz w:val="28"/>
          <w:szCs w:val="28"/>
        </w:rPr>
        <w:t>исполнительных органов</w:t>
      </w:r>
      <w:r w:rsidR="003D1535" w:rsidRPr="00DD7A52">
        <w:rPr>
          <w:rFonts w:ascii="PT Astra Serif" w:eastAsia="Times New Roman" w:hAnsi="PT Astra Serif"/>
          <w:sz w:val="28"/>
          <w:szCs w:val="28"/>
        </w:rPr>
        <w:t xml:space="preserve"> </w:t>
      </w:r>
      <w:r w:rsidR="00982780" w:rsidRPr="00DD7A52">
        <w:rPr>
          <w:rFonts w:ascii="PT Astra Serif" w:eastAsia="Times New Roman" w:hAnsi="PT Astra Serif"/>
          <w:sz w:val="28"/>
          <w:szCs w:val="28"/>
        </w:rPr>
        <w:t>Ульяновской области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в 201</w:t>
      </w:r>
      <w:r w:rsidR="00982780" w:rsidRPr="00DD7A52">
        <w:rPr>
          <w:rFonts w:ascii="PT Astra Serif" w:eastAsia="Times New Roman" w:hAnsi="PT Astra Serif"/>
          <w:sz w:val="28"/>
          <w:szCs w:val="28"/>
        </w:rPr>
        <w:t>4</w:t>
      </w:r>
      <w:r w:rsidR="001E1822" w:rsidRPr="00DD7A52">
        <w:rPr>
          <w:rFonts w:ascii="PT Astra Serif" w:eastAsia="Times New Roman" w:hAnsi="PT Astra Serif"/>
          <w:sz w:val="28"/>
          <w:szCs w:val="28"/>
        </w:rPr>
        <w:t>-</w:t>
      </w:r>
      <w:r w:rsidRPr="00DD7A52">
        <w:rPr>
          <w:rFonts w:ascii="PT Astra Serif" w:eastAsia="Times New Roman" w:hAnsi="PT Astra Serif"/>
          <w:sz w:val="28"/>
          <w:szCs w:val="28"/>
        </w:rPr>
        <w:t>20</w:t>
      </w:r>
      <w:r w:rsidR="0038621B" w:rsidRPr="00DD7A52">
        <w:rPr>
          <w:rFonts w:ascii="PT Astra Serif" w:eastAsia="Times New Roman" w:hAnsi="PT Astra Serif"/>
          <w:sz w:val="28"/>
          <w:szCs w:val="28"/>
        </w:rPr>
        <w:t>2</w:t>
      </w:r>
      <w:r w:rsidR="00DD7A52">
        <w:rPr>
          <w:rFonts w:ascii="PT Astra Serif" w:eastAsia="Times New Roman" w:hAnsi="PT Astra Serif"/>
          <w:sz w:val="28"/>
          <w:szCs w:val="28"/>
        </w:rPr>
        <w:t>4</w:t>
      </w:r>
      <w:r w:rsidR="00F672AC" w:rsidRPr="00DD7A52">
        <w:rPr>
          <w:rFonts w:ascii="PT Astra Serif" w:eastAsia="Times New Roman" w:hAnsi="PT Astra Serif"/>
          <w:sz w:val="28"/>
          <w:szCs w:val="28"/>
        </w:rPr>
        <w:t xml:space="preserve"> годах</w:t>
      </w:r>
      <w:r w:rsidRPr="00DD7A52">
        <w:rPr>
          <w:rFonts w:ascii="PT Astra Serif" w:eastAsia="Times New Roman" w:hAnsi="PT Astra Serif"/>
          <w:sz w:val="28"/>
          <w:szCs w:val="28"/>
        </w:rPr>
        <w:t>.</w:t>
      </w:r>
    </w:p>
    <w:p w:rsidR="004C54A7" w:rsidRPr="00DD7A52" w:rsidRDefault="00562A8D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Среди заказчиков </w:t>
      </w:r>
      <w:proofErr w:type="spellStart"/>
      <w:r w:rsidRPr="00DD7A52">
        <w:rPr>
          <w:rFonts w:ascii="PT Astra Serif" w:eastAsia="Times New Roman" w:hAnsi="PT Astra Serif"/>
          <w:sz w:val="28"/>
          <w:szCs w:val="28"/>
        </w:rPr>
        <w:t>энергосервисных</w:t>
      </w:r>
      <w:proofErr w:type="spellEnd"/>
      <w:r w:rsidRPr="00DD7A52">
        <w:rPr>
          <w:rFonts w:ascii="PT Astra Serif" w:eastAsia="Times New Roman" w:hAnsi="PT Astra Serif"/>
          <w:sz w:val="28"/>
          <w:szCs w:val="28"/>
        </w:rPr>
        <w:t xml:space="preserve"> услуг по </w:t>
      </w:r>
      <w:r w:rsidR="00427CBE" w:rsidRPr="00DD7A52">
        <w:rPr>
          <w:rFonts w:ascii="PT Astra Serif" w:eastAsia="Times New Roman" w:hAnsi="PT Astra Serif"/>
          <w:sz w:val="28"/>
          <w:szCs w:val="28"/>
        </w:rPr>
        <w:t>объёму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инвестиций преобладают объекты социальной сферы (общеобразовательные, дошкольные образовательные учреждения, учреждения здравоохранения.). На рынке</w:t>
      </w:r>
      <w:r w:rsidR="00427CBE" w:rsidRPr="00DD7A52">
        <w:rPr>
          <w:rFonts w:ascii="PT Astra Serif" w:eastAsia="Times New Roman" w:hAnsi="PT Astra Serif"/>
          <w:sz w:val="28"/>
          <w:szCs w:val="28"/>
        </w:rPr>
        <w:t xml:space="preserve"> Ульяновской области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</w:t>
      </w:r>
      <w:r w:rsidR="00E23B05" w:rsidRPr="00DD7A52">
        <w:rPr>
          <w:rFonts w:ascii="PT Astra Serif" w:eastAsia="Times New Roman" w:hAnsi="PT Astra Serif"/>
          <w:sz w:val="28"/>
          <w:szCs w:val="28"/>
        </w:rPr>
        <w:t>работают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</w:t>
      </w:r>
      <w:r w:rsidR="00427CBE" w:rsidRPr="00DD7A52">
        <w:rPr>
          <w:rFonts w:ascii="PT Astra Serif" w:eastAsia="Times New Roman" w:hAnsi="PT Astra Serif"/>
          <w:sz w:val="28"/>
          <w:szCs w:val="28"/>
        </w:rPr>
        <w:t>8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</w:t>
      </w:r>
      <w:proofErr w:type="spellStart"/>
      <w:r w:rsidRPr="00DD7A52">
        <w:rPr>
          <w:rFonts w:ascii="PT Astra Serif" w:eastAsia="Times New Roman" w:hAnsi="PT Astra Serif"/>
          <w:sz w:val="28"/>
          <w:szCs w:val="28"/>
        </w:rPr>
        <w:t>энергосервисных</w:t>
      </w:r>
      <w:proofErr w:type="spellEnd"/>
      <w:r w:rsidRPr="00DD7A52">
        <w:rPr>
          <w:rFonts w:ascii="PT Astra Serif" w:eastAsia="Times New Roman" w:hAnsi="PT Astra Serif"/>
          <w:sz w:val="28"/>
          <w:szCs w:val="28"/>
        </w:rPr>
        <w:t xml:space="preserve"> компаний</w:t>
      </w:r>
      <w:r w:rsidR="00427CBE" w:rsidRPr="00DD7A52">
        <w:rPr>
          <w:rFonts w:ascii="PT Astra Serif" w:eastAsia="Times New Roman" w:hAnsi="PT Astra Serif"/>
          <w:sz w:val="28"/>
          <w:szCs w:val="28"/>
        </w:rPr>
        <w:t>.</w:t>
      </w:r>
      <w:r w:rsidR="00427CBE" w:rsidRPr="00DD7A52">
        <w:rPr>
          <w:rFonts w:ascii="PT Astra Serif" w:hAnsi="PT Astra Serif"/>
          <w:sz w:val="28"/>
          <w:szCs w:val="28"/>
        </w:rPr>
        <w:t xml:space="preserve"> </w:t>
      </w:r>
      <w:r w:rsidR="004C54A7" w:rsidRPr="00DD7A52">
        <w:rPr>
          <w:rFonts w:ascii="PT Astra Serif" w:hAnsi="PT Astra Serif"/>
          <w:sz w:val="28"/>
          <w:szCs w:val="28"/>
        </w:rPr>
        <w:t xml:space="preserve">Информация </w:t>
      </w:r>
      <w:r w:rsidR="00DD7A52">
        <w:rPr>
          <w:rFonts w:ascii="PT Astra Serif" w:hAnsi="PT Astra Serif"/>
          <w:sz w:val="28"/>
          <w:szCs w:val="28"/>
        </w:rPr>
        <w:br/>
      </w:r>
      <w:r w:rsidR="004C54A7" w:rsidRPr="00DD7A52">
        <w:rPr>
          <w:rFonts w:ascii="PT Astra Serif" w:hAnsi="PT Astra Serif"/>
          <w:sz w:val="28"/>
          <w:szCs w:val="28"/>
        </w:rPr>
        <w:t>об объёме з</w:t>
      </w:r>
      <w:r w:rsidR="00E23B05" w:rsidRPr="00DD7A52">
        <w:rPr>
          <w:rFonts w:ascii="PT Astra Serif" w:hAnsi="PT Astra Serif"/>
          <w:sz w:val="28"/>
          <w:szCs w:val="28"/>
        </w:rPr>
        <w:t xml:space="preserve">аключённых </w:t>
      </w:r>
      <w:proofErr w:type="spellStart"/>
      <w:r w:rsidR="004C54A7" w:rsidRPr="00DD7A52">
        <w:rPr>
          <w:rFonts w:ascii="PT Astra Serif" w:hAnsi="PT Astra Serif"/>
          <w:sz w:val="28"/>
          <w:szCs w:val="28"/>
        </w:rPr>
        <w:t>энергосервисных</w:t>
      </w:r>
      <w:proofErr w:type="spellEnd"/>
      <w:r w:rsidR="004C54A7" w:rsidRPr="00DD7A52">
        <w:rPr>
          <w:rFonts w:ascii="PT Astra Serif" w:hAnsi="PT Astra Serif"/>
          <w:sz w:val="28"/>
          <w:szCs w:val="28"/>
        </w:rPr>
        <w:t xml:space="preserve"> контрактов (далее – </w:t>
      </w:r>
      <w:r w:rsidR="00570F6B" w:rsidRPr="00DD7A52">
        <w:rPr>
          <w:rFonts w:ascii="PT Astra Serif" w:hAnsi="PT Astra Serif"/>
          <w:sz w:val="28"/>
          <w:szCs w:val="28"/>
        </w:rPr>
        <w:t>ЭСК</w:t>
      </w:r>
      <w:r w:rsidR="004C54A7" w:rsidRPr="00DD7A52">
        <w:rPr>
          <w:rFonts w:ascii="PT Astra Serif" w:hAnsi="PT Astra Serif"/>
          <w:sz w:val="28"/>
          <w:szCs w:val="28"/>
        </w:rPr>
        <w:t>) на территории Ульяновской области: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r w:rsidR="00E23B05" w:rsidRPr="00DD7A52">
        <w:rPr>
          <w:rFonts w:ascii="PT Astra Serif" w:eastAsia="Times New Roman" w:hAnsi="PT Astra Serif"/>
          <w:sz w:val="28"/>
          <w:szCs w:val="28"/>
        </w:rPr>
        <w:t>Специализированный проект и монтаж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0,52</w:t>
      </w:r>
      <w:r w:rsidRPr="00DD7A52">
        <w:rPr>
          <w:rFonts w:ascii="PT Astra Serif" w:eastAsia="Times New Roman" w:hAnsi="PT Astra Serif"/>
          <w:sz w:val="28"/>
          <w:szCs w:val="28"/>
        </w:rPr>
        <w:t>%;</w:t>
      </w:r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="00E23B05" w:rsidRPr="00DD7A52">
        <w:rPr>
          <w:rFonts w:ascii="PT Astra Serif" w:eastAsia="Times New Roman" w:hAnsi="PT Astra Serif"/>
          <w:sz w:val="28"/>
          <w:szCs w:val="28"/>
        </w:rPr>
        <w:t>Иннотэк</w:t>
      </w:r>
      <w:proofErr w:type="spellEnd"/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0,52</w:t>
      </w:r>
      <w:r w:rsidRPr="00DD7A52">
        <w:rPr>
          <w:rFonts w:ascii="PT Astra Serif" w:eastAsia="Times New Roman" w:hAnsi="PT Astra Serif"/>
          <w:sz w:val="28"/>
          <w:szCs w:val="28"/>
        </w:rPr>
        <w:t>%;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r w:rsidR="00427CBE" w:rsidRPr="00DD7A52">
        <w:rPr>
          <w:rFonts w:ascii="PT Astra Serif" w:eastAsia="Times New Roman" w:hAnsi="PT Astra Serif"/>
          <w:sz w:val="28"/>
          <w:szCs w:val="28"/>
        </w:rPr>
        <w:t>Союз Энергетиков Поволжья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>3</w:t>
      </w:r>
      <w:r w:rsidR="00946EBA" w:rsidRPr="00DD7A52">
        <w:rPr>
          <w:rFonts w:ascii="PT Astra Serif" w:eastAsia="Times New Roman" w:hAnsi="PT Astra Serif"/>
          <w:sz w:val="28"/>
          <w:szCs w:val="28"/>
        </w:rPr>
        <w:t>,61</w:t>
      </w:r>
      <w:r w:rsidRPr="00DD7A52">
        <w:rPr>
          <w:rFonts w:ascii="PT Astra Serif" w:eastAsia="Times New Roman" w:hAnsi="PT Astra Serif"/>
          <w:sz w:val="28"/>
          <w:szCs w:val="28"/>
        </w:rPr>
        <w:t>%;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r w:rsidR="00427CBE" w:rsidRPr="00DD7A52">
        <w:rPr>
          <w:rFonts w:ascii="PT Astra Serif" w:eastAsia="Times New Roman" w:hAnsi="PT Astra Serif"/>
          <w:sz w:val="28"/>
          <w:szCs w:val="28"/>
        </w:rPr>
        <w:t>ТРЕЙДЭНЕРГОСЕРВИС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>3</w:t>
      </w:r>
      <w:r w:rsidR="00946EBA" w:rsidRPr="00DD7A52">
        <w:rPr>
          <w:rFonts w:ascii="PT Astra Serif" w:eastAsia="Times New Roman" w:hAnsi="PT Astra Serif"/>
          <w:sz w:val="28"/>
          <w:szCs w:val="28"/>
        </w:rPr>
        <w:t>,61</w:t>
      </w:r>
      <w:r w:rsidRPr="00DD7A52">
        <w:rPr>
          <w:rFonts w:ascii="PT Astra Serif" w:eastAsia="Times New Roman" w:hAnsi="PT Astra Serif"/>
          <w:sz w:val="28"/>
          <w:szCs w:val="28"/>
        </w:rPr>
        <w:t>%;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="00E23B05" w:rsidRPr="00DD7A52">
        <w:rPr>
          <w:rFonts w:ascii="PT Astra Serif" w:eastAsia="Times New Roman" w:hAnsi="PT Astra Serif"/>
          <w:sz w:val="28"/>
          <w:szCs w:val="28"/>
        </w:rPr>
        <w:t>Энергосервис</w:t>
      </w:r>
      <w:proofErr w:type="spellEnd"/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 Волги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2,58</w:t>
      </w:r>
      <w:r w:rsidR="00E23B05" w:rsidRPr="00DD7A52">
        <w:rPr>
          <w:rFonts w:ascii="PT Astra Serif" w:eastAsia="Times New Roman" w:hAnsi="PT Astra Serif"/>
          <w:sz w:val="28"/>
          <w:szCs w:val="28"/>
        </w:rPr>
        <w:t>%</w:t>
      </w:r>
      <w:r w:rsidRPr="00DD7A52">
        <w:rPr>
          <w:rFonts w:ascii="PT Astra Serif" w:eastAsia="Times New Roman" w:hAnsi="PT Astra Serif"/>
          <w:sz w:val="28"/>
          <w:szCs w:val="28"/>
        </w:rPr>
        <w:t>;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E23B05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="00E23B05" w:rsidRPr="00DD7A52">
        <w:rPr>
          <w:rFonts w:ascii="PT Astra Serif" w:eastAsia="Times New Roman" w:hAnsi="PT Astra Serif"/>
          <w:sz w:val="28"/>
          <w:szCs w:val="28"/>
        </w:rPr>
        <w:t>Энергопрофит</w:t>
      </w:r>
      <w:proofErr w:type="spellEnd"/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25,26</w:t>
      </w:r>
      <w:r w:rsidR="00E23B05" w:rsidRPr="00DD7A52">
        <w:rPr>
          <w:rFonts w:ascii="PT Astra Serif" w:eastAsia="Times New Roman" w:hAnsi="PT Astra Serif"/>
          <w:sz w:val="28"/>
          <w:szCs w:val="28"/>
        </w:rPr>
        <w:t>%</w:t>
      </w:r>
      <w:r w:rsidRPr="00DD7A52">
        <w:rPr>
          <w:rFonts w:ascii="PT Astra Serif" w:eastAsia="Times New Roman" w:hAnsi="PT Astra Serif"/>
          <w:sz w:val="28"/>
          <w:szCs w:val="28"/>
        </w:rPr>
        <w:t>;</w:t>
      </w:r>
    </w:p>
    <w:p w:rsidR="004C54A7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 xml:space="preserve">ПАО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r w:rsidR="00427CBE" w:rsidRPr="00DD7A52">
        <w:rPr>
          <w:rFonts w:ascii="PT Astra Serif" w:eastAsia="Times New Roman" w:hAnsi="PT Astra Serif"/>
          <w:sz w:val="28"/>
          <w:szCs w:val="28"/>
        </w:rPr>
        <w:t>Ростелеком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28,35</w:t>
      </w:r>
      <w:r w:rsidRPr="00DD7A52">
        <w:rPr>
          <w:rFonts w:ascii="PT Astra Serif" w:eastAsia="Times New Roman" w:hAnsi="PT Astra Serif"/>
          <w:sz w:val="28"/>
          <w:szCs w:val="28"/>
        </w:rPr>
        <w:t>%;</w:t>
      </w:r>
    </w:p>
    <w:p w:rsidR="00562A8D" w:rsidRPr="00DD7A52" w:rsidRDefault="004C54A7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</w:rPr>
        <w:t xml:space="preserve">- </w:t>
      </w:r>
      <w:r w:rsidR="00427CBE" w:rsidRPr="00DD7A52">
        <w:rPr>
          <w:rFonts w:ascii="PT Astra Serif" w:eastAsia="Times New Roman" w:hAnsi="PT Astra Serif"/>
          <w:sz w:val="28"/>
          <w:szCs w:val="28"/>
        </w:rPr>
        <w:t xml:space="preserve">ООО 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«</w:t>
      </w:r>
      <w:r w:rsidR="00427CBE" w:rsidRPr="00DD7A52">
        <w:rPr>
          <w:rFonts w:ascii="PT Astra Serif" w:eastAsia="Times New Roman" w:hAnsi="PT Astra Serif"/>
          <w:sz w:val="28"/>
          <w:szCs w:val="28"/>
        </w:rPr>
        <w:t>ЕЭС</w:t>
      </w:r>
      <w:r w:rsidR="00946EBA" w:rsidRPr="00DD7A52">
        <w:rPr>
          <w:rFonts w:ascii="PT Astra Serif" w:eastAsia="Times New Roman" w:hAnsi="PT Astra Serif"/>
          <w:sz w:val="28"/>
          <w:szCs w:val="28"/>
        </w:rPr>
        <w:t>-</w:t>
      </w:r>
      <w:r w:rsidR="00427CBE" w:rsidRPr="00DD7A52">
        <w:rPr>
          <w:rFonts w:ascii="PT Astra Serif" w:eastAsia="Times New Roman" w:hAnsi="PT Astra Serif"/>
          <w:sz w:val="28"/>
          <w:szCs w:val="28"/>
        </w:rPr>
        <w:t>Гарант</w:t>
      </w:r>
      <w:r w:rsidR="00352CA4" w:rsidRPr="00DD7A52">
        <w:rPr>
          <w:rFonts w:ascii="PT Astra Serif" w:eastAsia="Times New Roman" w:hAnsi="PT Astra Serif"/>
          <w:sz w:val="28"/>
          <w:szCs w:val="28"/>
        </w:rPr>
        <w:t>»</w:t>
      </w:r>
      <w:r w:rsidRPr="00DD7A52">
        <w:rPr>
          <w:rFonts w:ascii="PT Astra Serif" w:eastAsia="Times New Roman" w:hAnsi="PT Astra Serif"/>
          <w:sz w:val="28"/>
          <w:szCs w:val="28"/>
        </w:rPr>
        <w:t xml:space="preserve"> - </w:t>
      </w:r>
      <w:r w:rsidR="00946EBA" w:rsidRPr="00DD7A52">
        <w:rPr>
          <w:rFonts w:ascii="PT Astra Serif" w:eastAsia="Times New Roman" w:hAnsi="PT Astra Serif"/>
          <w:sz w:val="28"/>
          <w:szCs w:val="28"/>
        </w:rPr>
        <w:t>35,57</w:t>
      </w:r>
      <w:r w:rsidRPr="00DD7A52">
        <w:rPr>
          <w:rFonts w:ascii="PT Astra Serif" w:eastAsia="Times New Roman" w:hAnsi="PT Astra Serif"/>
          <w:sz w:val="28"/>
          <w:szCs w:val="28"/>
        </w:rPr>
        <w:t>%</w:t>
      </w:r>
      <w:r w:rsidR="00E23B05" w:rsidRPr="00DD7A52">
        <w:rPr>
          <w:rFonts w:ascii="PT Astra Serif" w:eastAsia="Times New Roman" w:hAnsi="PT Astra Serif"/>
          <w:sz w:val="28"/>
          <w:szCs w:val="28"/>
        </w:rPr>
        <w:t>.</w:t>
      </w:r>
    </w:p>
    <w:p w:rsidR="00733F45" w:rsidRPr="00DD7A52" w:rsidRDefault="000762BF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>Всего на территории Ульяновской области заключен 19</w:t>
      </w:r>
      <w:r w:rsidR="00A31085" w:rsidRPr="00DD7A5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ЭСК</w:t>
      </w:r>
      <w:r w:rsidR="00B31A2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733F45" w:rsidRPr="00DD7A52">
        <w:rPr>
          <w:rFonts w:ascii="PT Astra Serif" w:hAnsi="PT Astra Serif"/>
          <w:sz w:val="28"/>
          <w:szCs w:val="28"/>
        </w:rPr>
        <w:t xml:space="preserve">из них </w:t>
      </w:r>
      <w:r w:rsidR="00DD7A52">
        <w:rPr>
          <w:rFonts w:ascii="PT Astra Serif" w:hAnsi="PT Astra Serif"/>
          <w:sz w:val="28"/>
          <w:szCs w:val="28"/>
        </w:rPr>
        <w:br/>
      </w:r>
      <w:r w:rsidR="00733F45" w:rsidRPr="00DD7A52">
        <w:rPr>
          <w:rFonts w:ascii="PT Astra Serif" w:hAnsi="PT Astra Serif"/>
          <w:sz w:val="28"/>
          <w:szCs w:val="28"/>
        </w:rPr>
        <w:lastRenderedPageBreak/>
        <w:t>по установке системы погод</w:t>
      </w:r>
      <w:r w:rsidR="00A31085" w:rsidRPr="00DD7A52">
        <w:rPr>
          <w:rFonts w:ascii="PT Astra Serif" w:hAnsi="PT Astra Serif"/>
          <w:sz w:val="28"/>
          <w:szCs w:val="28"/>
        </w:rPr>
        <w:t>ного регулирования заключено 155</w:t>
      </w:r>
      <w:r w:rsidR="00733F45" w:rsidRPr="00DD7A52">
        <w:rPr>
          <w:rFonts w:ascii="PT Astra Serif" w:hAnsi="PT Astra Serif"/>
          <w:sz w:val="28"/>
          <w:szCs w:val="28"/>
        </w:rPr>
        <w:t xml:space="preserve"> ЭСК, </w:t>
      </w:r>
      <w:r w:rsidR="00DD7A52">
        <w:rPr>
          <w:rFonts w:ascii="PT Astra Serif" w:hAnsi="PT Astra Serif"/>
          <w:sz w:val="28"/>
          <w:szCs w:val="28"/>
        </w:rPr>
        <w:br/>
      </w:r>
      <w:r w:rsidR="00733F45" w:rsidRPr="00DD7A52">
        <w:rPr>
          <w:rFonts w:ascii="PT Astra Serif" w:hAnsi="PT Astra Serif"/>
          <w:sz w:val="28"/>
          <w:szCs w:val="28"/>
        </w:rPr>
        <w:t xml:space="preserve">по модернизации системы уличного освещения заключено 14 ЭСК, </w:t>
      </w:r>
      <w:r w:rsidR="00733F45" w:rsidRPr="00DD7A52">
        <w:rPr>
          <w:rFonts w:ascii="PT Astra Serif" w:hAnsi="PT Astra Serif"/>
          <w:sz w:val="28"/>
          <w:szCs w:val="28"/>
        </w:rPr>
        <w:br/>
        <w:t>по переводу котельных на другой вид топлива (в т. ч. местные возобновляемые виды топлива) заключено 2</w:t>
      </w:r>
      <w:r w:rsidR="00A31085" w:rsidRPr="00DD7A52">
        <w:rPr>
          <w:rFonts w:ascii="PT Astra Serif" w:hAnsi="PT Astra Serif"/>
          <w:sz w:val="28"/>
          <w:szCs w:val="28"/>
        </w:rPr>
        <w:t>2</w:t>
      </w:r>
      <w:r w:rsidR="00CD75FB" w:rsidRPr="00DD7A52">
        <w:rPr>
          <w:rFonts w:ascii="PT Astra Serif" w:hAnsi="PT Astra Serif"/>
          <w:sz w:val="28"/>
          <w:szCs w:val="28"/>
        </w:rPr>
        <w:t xml:space="preserve"> ЭСК</w:t>
      </w:r>
      <w:r w:rsidR="00733F45" w:rsidRPr="00DD7A52">
        <w:rPr>
          <w:rFonts w:ascii="PT Astra Serif" w:hAnsi="PT Astra Serif"/>
          <w:sz w:val="28"/>
          <w:szCs w:val="28"/>
        </w:rPr>
        <w:t>.</w:t>
      </w:r>
      <w:r w:rsidR="00CD75FB" w:rsidRPr="00DD7A52">
        <w:rPr>
          <w:rFonts w:ascii="PT Astra Serif" w:hAnsi="PT Astra Serif"/>
          <w:sz w:val="28"/>
          <w:szCs w:val="28"/>
        </w:rPr>
        <w:t xml:space="preserve"> </w:t>
      </w:r>
      <w:r w:rsidR="00607660" w:rsidRPr="00DD7A52">
        <w:rPr>
          <w:rFonts w:ascii="PT Astra Serif" w:hAnsi="PT Astra Serif"/>
          <w:sz w:val="28"/>
          <w:szCs w:val="28"/>
        </w:rPr>
        <w:t xml:space="preserve"> </w:t>
      </w:r>
    </w:p>
    <w:p w:rsidR="000762BF" w:rsidRPr="00DD7A52" w:rsidRDefault="000762BF" w:rsidP="005629F1">
      <w:pPr>
        <w:widowControl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В разрезе муниципальных образований и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исполнительных органов</w:t>
      </w: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ситуация выглядит следующим образом: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5C274F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Улья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новск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106 ЭСК на общую сумму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экономии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107,9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5C274F" w:rsidRPr="00DD7A52">
        <w:rPr>
          <w:rFonts w:ascii="PT Astra Serif" w:eastAsia="Times New Roman" w:hAnsi="PT Astra Serif"/>
          <w:sz w:val="28"/>
          <w:szCs w:val="28"/>
          <w:lang w:eastAsia="ru-RU"/>
        </w:rPr>
        <w:t>г.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Димитр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овград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39 ЭСК на общую сумму</w:t>
      </w:r>
      <w:r w:rsidR="00890469" w:rsidRPr="00DD7A52">
        <w:rPr>
          <w:rFonts w:ascii="PT Astra Serif" w:hAnsi="PT Astra Serif"/>
        </w:rPr>
        <w:t xml:space="preserve">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>экономии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114,6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Радищевский район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4 ЭСК на общую сумму</w:t>
      </w:r>
      <w:r w:rsidR="00890469" w:rsidRPr="00DD7A52">
        <w:rPr>
          <w:rFonts w:ascii="PT Astra Serif" w:hAnsi="PT Astra Serif"/>
        </w:rPr>
        <w:t xml:space="preserve">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>экономии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7,1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Сурский</w:t>
      </w:r>
      <w:proofErr w:type="spellEnd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4 ЭСК на общую сумму</w:t>
      </w:r>
      <w:r w:rsidR="00890469" w:rsidRPr="00DD7A52">
        <w:rPr>
          <w:rFonts w:ascii="PT Astra Serif" w:hAnsi="PT Astra Serif"/>
        </w:rPr>
        <w:t xml:space="preserve">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>экономии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12,3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Чердаклинский</w:t>
      </w:r>
      <w:proofErr w:type="spellEnd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18,0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Сенгилеевс</w:t>
      </w:r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кий</w:t>
      </w:r>
      <w:proofErr w:type="spellEnd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0,6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Старокулаткинский</w:t>
      </w:r>
      <w:proofErr w:type="spellEnd"/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4616A5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3,0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Старомайнский</w:t>
      </w:r>
      <w:proofErr w:type="spellEnd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3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42,2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Инзенский</w:t>
      </w:r>
      <w:proofErr w:type="spellEnd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–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1 ЭСК на общую сум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15,7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Майнский</w:t>
      </w:r>
      <w:proofErr w:type="spellEnd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8,7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Ульяновск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ий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3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20,1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Новоспасск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ий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,9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Николаевск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ий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 ЭСК 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,5 </w:t>
      </w:r>
      <w:r w:rsidR="00186A68" w:rsidRPr="00DD7A52">
        <w:rPr>
          <w:rFonts w:ascii="PT Astra Serif" w:eastAsia="Times New Roman" w:hAnsi="PT Astra Serif"/>
          <w:sz w:val="28"/>
          <w:szCs w:val="28"/>
          <w:lang w:eastAsia="ru-RU"/>
        </w:rPr>
        <w:t>млн</w:t>
      </w:r>
      <w:r w:rsidR="00B91AC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руб.;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proofErr w:type="spellStart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Барышский</w:t>
      </w:r>
      <w:proofErr w:type="spellEnd"/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–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6003B6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ЭСК н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EE5C24" w:rsidRPr="00DD7A52">
        <w:rPr>
          <w:rFonts w:ascii="PT Astra Serif" w:eastAsia="Times New Roman" w:hAnsi="PT Astra Serif"/>
          <w:sz w:val="28"/>
          <w:szCs w:val="28"/>
          <w:lang w:eastAsia="ru-RU"/>
        </w:rPr>
        <w:t>10,8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млн руб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EE471C" w:rsidRPr="00DD7A52">
        <w:rPr>
          <w:rFonts w:ascii="PT Astra Serif" w:eastAsia="Times New Roman" w:hAnsi="PT Astra Serif"/>
          <w:sz w:val="28"/>
          <w:szCs w:val="28"/>
          <w:lang w:eastAsia="ru-RU"/>
        </w:rPr>
        <w:t>Министерство просвещения и воспитания Ульяновской области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10 ЭСК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18,0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млн руб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Министерство здраво</w:t>
      </w:r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>охранения Ульяновской области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7 ЭСК 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6,7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млн руб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03773C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Министерство экономического</w:t>
      </w:r>
      <w:r w:rsidR="006C425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развития Ульяновской области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1 ЭСК</w:t>
      </w: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на общую сумму </w:t>
      </w:r>
      <w:r w:rsidR="00890469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экономии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0,6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млн руб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607660" w:rsidRPr="00DD7A52" w:rsidRDefault="000A6D4C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>Министерство искусства и культурной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политики Ульяновской области – </w:t>
      </w:r>
      <w:r w:rsidR="005755DA" w:rsidRPr="00DD7A52">
        <w:rPr>
          <w:rFonts w:ascii="PT Astra Serif" w:eastAsia="Times New Roman" w:hAnsi="PT Astra Serif"/>
          <w:sz w:val="28"/>
          <w:szCs w:val="28"/>
          <w:lang w:eastAsia="ru-RU"/>
        </w:rPr>
        <w:t>1 ЭСК на общую сумму 4</w:t>
      </w:r>
      <w:r w:rsidR="0003773C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,1 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млн руб</w:t>
      </w:r>
      <w:r w:rsidR="00DD7A52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607660" w:rsidRDefault="00DD7A52" w:rsidP="00DD7A52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2023 году в государственных и муниципальных учреждениях Ульяновской области действовало 9 ЭСК на общую сумму 82,4 млн. рублей. </w:t>
      </w:r>
      <w:r w:rsidR="00607660" w:rsidRPr="00DD7A52">
        <w:rPr>
          <w:rFonts w:ascii="PT Astra Serif" w:eastAsia="Times New Roman" w:hAnsi="PT Astra Serif"/>
          <w:sz w:val="28"/>
          <w:szCs w:val="28"/>
          <w:lang w:eastAsia="ru-RU"/>
        </w:rPr>
        <w:t>Фактическая экономия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энергетических ресурсов за 2023 год составила </w:t>
      </w:r>
      <w:r w:rsidR="00F77CE9">
        <w:rPr>
          <w:rFonts w:ascii="PT Astra Serif" w:eastAsia="Times New Roman" w:hAnsi="PT Astra Serif"/>
          <w:sz w:val="28"/>
          <w:szCs w:val="28"/>
          <w:lang w:eastAsia="ru-RU"/>
        </w:rPr>
        <w:t>11,</w:t>
      </w:r>
      <w:r w:rsidR="00F77CE9" w:rsidRPr="005B74A1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Pr="00576CCD">
        <w:rPr>
          <w:rFonts w:ascii="PT Astra Serif" w:eastAsia="Times New Roman" w:hAnsi="PT Astra Serif"/>
          <w:sz w:val="28"/>
          <w:szCs w:val="28"/>
          <w:lang w:eastAsia="ru-RU"/>
        </w:rPr>
        <w:t>39</w:t>
      </w:r>
      <w:r w:rsidR="00607660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млн</w:t>
      </w:r>
      <w:r w:rsidR="004C54A7" w:rsidRPr="00DD7A5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рублей.</w:t>
      </w:r>
    </w:p>
    <w:p w:rsidR="00E86420" w:rsidRDefault="00E86420" w:rsidP="00F81E3F">
      <w:pPr>
        <w:widowControl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CE7053" w:rsidRDefault="00CE7053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2.</w:t>
      </w:r>
      <w:r w:rsidR="00994C48"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9</w:t>
      </w: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. Показатели, характеризующие уровень внедрения технологий, имеющих высокую энергетическую эффективность в системах </w:t>
      </w:r>
      <w:r w:rsidR="009459D2"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наружного</w:t>
      </w: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освещения Ульяновской области</w:t>
      </w:r>
    </w:p>
    <w:p w:rsidR="008531A2" w:rsidRDefault="008531A2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6F4C82" w:rsidRPr="005629F1" w:rsidRDefault="007845A0" w:rsidP="00571DE8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Одним из основных направлений повышения энергетической эффективности является замена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светильников с натриевыми и ртутными газоразрядными лампами</w:t>
      </w:r>
      <w:r w:rsidR="008F758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 светодиодные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светильники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. Светодиодные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светильники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отличаются более долгим сроком службы и в несколько раз меньше потребляют электроэнергии по сравнению с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натриевыми и ртутными газоразрядными лампами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F11D23" w:rsidRPr="00F672AC" w:rsidRDefault="00F11D23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Освещение региональных дорог Ульяновской области</w:t>
      </w:r>
    </w:p>
    <w:p w:rsidR="000A6D4C" w:rsidRDefault="007845A0" w:rsidP="00171C2E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Доля светодиодных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светильников, установленных на автомобильных дорогах регионального значения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576CCD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в Ульяновской области, выросла на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17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%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  <w:t>по сравнению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202</w:t>
      </w:r>
      <w:r w:rsidR="00B447E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2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годом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  <w:r w:rsid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Общие сведения об установленных осветительных приборах автомобильных дорог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регионального значения по итогам 2023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года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приведены в таблице 6</w:t>
      </w:r>
      <w:r w:rsid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7A272E" w:rsidRPr="005629F1" w:rsidRDefault="006F4C82" w:rsidP="00576CCD">
      <w:pPr>
        <w:widowControl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6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1134"/>
        <w:gridCol w:w="1275"/>
        <w:gridCol w:w="1134"/>
      </w:tblGrid>
      <w:tr w:rsidR="004C05CF" w:rsidRPr="00F672AC" w:rsidTr="00171C2E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Региональные дороги</w:t>
            </w:r>
          </w:p>
        </w:tc>
      </w:tr>
      <w:tr w:rsidR="008246CB" w:rsidRPr="00F672AC" w:rsidTr="00576CCD">
        <w:trPr>
          <w:trHeight w:val="10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</w:t>
            </w: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освещения региональных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576CCD">
        <w:trPr>
          <w:trHeight w:val="94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технологиям,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  <w:bCs/>
              </w:rPr>
            </w:pPr>
            <w:r w:rsidRPr="00F672AC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  <w:bCs/>
              </w:rPr>
            </w:pPr>
            <w:r w:rsidRPr="00F672AC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lang w:eastAsia="ru-RU"/>
              </w:rPr>
              <w:t>Х</w:t>
            </w:r>
          </w:p>
        </w:tc>
      </w:tr>
      <w:tr w:rsidR="008246CB" w:rsidRPr="00F672AC" w:rsidTr="00171C2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светодиодных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9 724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171C2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proofErr w:type="spellStart"/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металлогалогенных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171C2E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2.3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натриевых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4B3893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4B3893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73,35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</w:tbl>
    <w:p w:rsidR="00994C48" w:rsidRPr="005629F1" w:rsidRDefault="00994C48" w:rsidP="005629F1">
      <w:pPr>
        <w:widowControl/>
        <w:ind w:firstLine="567"/>
        <w:rPr>
          <w:rFonts w:ascii="PT Astra Serif" w:eastAsia="Times New Roman" w:hAnsi="PT Astra Serif"/>
          <w:b/>
          <w:bCs/>
          <w:i/>
          <w:color w:val="000000"/>
          <w:sz w:val="28"/>
          <w:szCs w:val="28"/>
          <w:lang w:eastAsia="ru-RU"/>
        </w:rPr>
      </w:pPr>
    </w:p>
    <w:p w:rsidR="005F11F2" w:rsidRDefault="009459D2" w:rsidP="005629F1">
      <w:pPr>
        <w:widowControl/>
        <w:ind w:firstLine="567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Наружное освещени</w:t>
      </w:r>
      <w:r w:rsidR="0082206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е</w:t>
      </w: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на территории муниципальных образований Ульяновской области</w:t>
      </w:r>
    </w:p>
    <w:p w:rsidR="005F7969" w:rsidRPr="00F672AC" w:rsidRDefault="005F7969" w:rsidP="005629F1">
      <w:pPr>
        <w:widowControl/>
        <w:ind w:firstLine="567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EF5A47" w:rsidRDefault="007845A0" w:rsidP="00171C2E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Наилучшие показатели по внедрению энергоэффективного </w:t>
      </w:r>
      <w:r w:rsidR="009459D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наруж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ного освещения показывают</w:t>
      </w:r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Базарносызганский</w:t>
      </w:r>
      <w:proofErr w:type="spellEnd"/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</w:t>
      </w:r>
      <w:r w:rsidR="00CB5CA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B5CA7" w:rsidRPr="005629F1">
        <w:rPr>
          <w:rFonts w:ascii="PT Astra Serif" w:hAnsi="PT Astra Serif"/>
          <w:sz w:val="28"/>
          <w:szCs w:val="28"/>
        </w:rPr>
        <w:t>Инзенский</w:t>
      </w:r>
      <w:proofErr w:type="spellEnd"/>
      <w:r w:rsidR="00CB5CA7" w:rsidRPr="005629F1">
        <w:rPr>
          <w:rFonts w:ascii="PT Astra Serif" w:hAnsi="PT Astra Serif"/>
          <w:sz w:val="28"/>
          <w:szCs w:val="28"/>
        </w:rPr>
        <w:t xml:space="preserve"> район</w:t>
      </w:r>
      <w:r w:rsidR="00CB5CA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Мелекесский</w:t>
      </w:r>
      <w:proofErr w:type="spellEnd"/>
      <w:r w:rsid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F647D1" w:rsidRP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Новомалыклинский</w:t>
      </w:r>
      <w:proofErr w:type="spellEnd"/>
      <w:r w:rsidR="00F647D1" w:rsidRP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</w:t>
      </w:r>
      <w:r w:rsid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647D1" w:rsidRP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Новоспасский район, 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Павловский район, </w:t>
      </w:r>
      <w:proofErr w:type="spellStart"/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Старомайнский</w:t>
      </w:r>
      <w:proofErr w:type="spellEnd"/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 </w:t>
      </w:r>
      <w:r w:rsidR="00171C2E" w:rsidRP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Ульяновский район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Чердаклинский</w:t>
      </w:r>
      <w:proofErr w:type="spellEnd"/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 город Димитровград и город Ульяновск </w:t>
      </w:r>
      <w:r w:rsidR="00DE164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(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доля составляет </w:t>
      </w:r>
      <w:r w:rsidR="00DE164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более 90</w:t>
      </w:r>
      <w:r w:rsidR="00DE1642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%)</w:t>
      </w:r>
      <w:r w:rsidR="00CB5CA7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Доля светодиодных светильников </w:t>
      </w:r>
      <w:r w:rsidR="009459D2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наружного</w:t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освещения, установленных 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 территории муниципальных образований Ульяновской области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приведена 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в таблице 7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7A272E" w:rsidRDefault="005A2124" w:rsidP="00576CCD">
      <w:pPr>
        <w:widowControl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7</w:t>
      </w: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15"/>
        <w:gridCol w:w="1985"/>
        <w:gridCol w:w="1843"/>
      </w:tblGrid>
      <w:tr w:rsidR="00822069" w:rsidRPr="00D8351B" w:rsidTr="00822069">
        <w:trPr>
          <w:trHeight w:val="20"/>
        </w:trPr>
        <w:tc>
          <w:tcPr>
            <w:tcW w:w="105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22069" w:rsidRPr="00D8351B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8351B">
              <w:rPr>
                <w:rFonts w:ascii="PT Astra Serif" w:hAnsi="PT Astra Serif"/>
                <w:b/>
                <w:bCs/>
              </w:rPr>
              <w:t>№ п/п</w:t>
            </w:r>
          </w:p>
        </w:tc>
        <w:tc>
          <w:tcPr>
            <w:tcW w:w="461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22069" w:rsidRPr="00D8351B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D8351B">
              <w:rPr>
                <w:rFonts w:ascii="PT Astra Serif" w:hAnsi="PT Astra Serif"/>
                <w:b/>
                <w:bCs/>
              </w:rPr>
              <w:t xml:space="preserve">Наименование </w:t>
            </w:r>
            <w:r w:rsidRPr="00D8351B">
              <w:rPr>
                <w:rFonts w:ascii="PT Astra Serif" w:eastAsia="Times New Roman" w:hAnsi="PT Astra Serif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382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2069" w:rsidRPr="00D8351B" w:rsidRDefault="00822069" w:rsidP="004210B9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Доля светодиодных светильников наружного освещения</w:t>
            </w:r>
          </w:p>
        </w:tc>
      </w:tr>
      <w:tr w:rsidR="00822069" w:rsidRPr="00D8351B" w:rsidTr="00822069">
        <w:trPr>
          <w:trHeight w:val="20"/>
        </w:trPr>
        <w:tc>
          <w:tcPr>
            <w:tcW w:w="105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D8351B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61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D8351B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822069" w:rsidRPr="00D8351B" w:rsidRDefault="005A2124" w:rsidP="004210B9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843" w:type="dxa"/>
          </w:tcPr>
          <w:p w:rsidR="00822069" w:rsidRPr="00D8351B" w:rsidRDefault="005A2124" w:rsidP="004210B9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2023</w:t>
            </w:r>
          </w:p>
        </w:tc>
      </w:tr>
    </w:tbl>
    <w:p w:rsidR="00F672AC" w:rsidRPr="00822069" w:rsidRDefault="00F672AC" w:rsidP="00F672AC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"/>
          <w:szCs w:val="2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15"/>
        <w:gridCol w:w="1985"/>
        <w:gridCol w:w="1843"/>
      </w:tblGrid>
      <w:tr w:rsidR="00822069" w:rsidRPr="00D8351B" w:rsidTr="00822069">
        <w:trPr>
          <w:trHeight w:val="20"/>
          <w:tblHeader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5A2124" w:rsidRDefault="00822069" w:rsidP="008220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1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5A2124" w:rsidRDefault="00822069" w:rsidP="0082206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1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bottom"/>
          </w:tcPr>
          <w:p w:rsidR="00822069" w:rsidRPr="005A2124" w:rsidRDefault="00822069" w:rsidP="0082206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A2124"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bottom"/>
          </w:tcPr>
          <w:p w:rsidR="00822069" w:rsidRPr="005A2124" w:rsidRDefault="00822069" w:rsidP="00822069">
            <w:pPr>
              <w:widowControl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A2124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Базарносызганский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100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widowControl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100</w:t>
            </w:r>
          </w:p>
        </w:tc>
      </w:tr>
      <w:tr w:rsidR="005A2124" w:rsidRPr="00D8351B" w:rsidTr="00F647D1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Барышский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82,47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82,47</w:t>
            </w:r>
          </w:p>
        </w:tc>
      </w:tr>
      <w:tr w:rsidR="005A2124" w:rsidRPr="00D8351B" w:rsidTr="00F647D1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Вешкаймский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83,85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83,85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Инзенский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100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100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Карсунский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39,30</w:t>
            </w:r>
          </w:p>
        </w:tc>
        <w:tc>
          <w:tcPr>
            <w:tcW w:w="1843" w:type="dxa"/>
            <w:vAlign w:val="bottom"/>
          </w:tcPr>
          <w:p w:rsidR="005A2124" w:rsidRPr="00D8351B" w:rsidRDefault="000010F8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39,92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Кузоватовский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86,94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87,08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Майнский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86,60</w:t>
            </w:r>
          </w:p>
        </w:tc>
        <w:tc>
          <w:tcPr>
            <w:tcW w:w="1843" w:type="dxa"/>
            <w:vAlign w:val="bottom"/>
          </w:tcPr>
          <w:p w:rsidR="005A2124" w:rsidRPr="00D8351B" w:rsidRDefault="000010F8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87,49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Мелекесский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87,57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93,28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 xml:space="preserve">Николаевский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71,20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2124" w:rsidRPr="00D8351B" w:rsidRDefault="005A2124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71,20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lastRenderedPageBreak/>
              <w:t>10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Новомалыклинский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94,15</w:t>
            </w:r>
          </w:p>
        </w:tc>
        <w:tc>
          <w:tcPr>
            <w:tcW w:w="1843" w:type="dxa"/>
            <w:vAlign w:val="bottom"/>
          </w:tcPr>
          <w:p w:rsidR="005A2124" w:rsidRPr="00D8351B" w:rsidRDefault="0072747E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94,67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 xml:space="preserve">Новоспасский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96,22</w:t>
            </w:r>
          </w:p>
        </w:tc>
        <w:tc>
          <w:tcPr>
            <w:tcW w:w="1843" w:type="dxa"/>
            <w:vAlign w:val="bottom"/>
          </w:tcPr>
          <w:p w:rsidR="005A2124" w:rsidRPr="00D8351B" w:rsidRDefault="000010F8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96,62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 xml:space="preserve">Павловский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42,04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93,72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13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 xml:space="preserve">Радищевский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77,57</w:t>
            </w:r>
          </w:p>
        </w:tc>
        <w:tc>
          <w:tcPr>
            <w:tcW w:w="1843" w:type="dxa"/>
            <w:vAlign w:val="bottom"/>
          </w:tcPr>
          <w:p w:rsidR="005A2124" w:rsidRPr="00D8351B" w:rsidRDefault="005A2124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81,97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Сенгилеевский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31,55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31,55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15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Старокулаткинский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87,83</w:t>
            </w:r>
          </w:p>
        </w:tc>
        <w:tc>
          <w:tcPr>
            <w:tcW w:w="1843" w:type="dxa"/>
            <w:vAlign w:val="bottom"/>
          </w:tcPr>
          <w:p w:rsidR="005A2124" w:rsidRPr="003B2BB1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87,83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16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Старомайнский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100</w:t>
            </w:r>
          </w:p>
        </w:tc>
        <w:tc>
          <w:tcPr>
            <w:tcW w:w="1843" w:type="dxa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100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Сурский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84,62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84,80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18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Тереньгульский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80,89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88,08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19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 xml:space="preserve">Ульяновский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93,36</w:t>
            </w:r>
          </w:p>
        </w:tc>
        <w:tc>
          <w:tcPr>
            <w:tcW w:w="1843" w:type="dxa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93,36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20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Цильнинский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70,42</w:t>
            </w:r>
          </w:p>
        </w:tc>
        <w:tc>
          <w:tcPr>
            <w:tcW w:w="1843" w:type="dxa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70,42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proofErr w:type="spellStart"/>
            <w:r w:rsidRPr="00D8351B">
              <w:rPr>
                <w:rFonts w:ascii="PT Astra Serif" w:hAnsi="PT Astra Serif"/>
              </w:rPr>
              <w:t>Чердаклинский</w:t>
            </w:r>
            <w:proofErr w:type="spellEnd"/>
            <w:r w:rsidRPr="00D8351B">
              <w:rPr>
                <w:rFonts w:ascii="PT Astra Serif" w:hAnsi="PT Astra Serif"/>
              </w:rPr>
              <w:t xml:space="preserve">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82,00</w:t>
            </w:r>
          </w:p>
        </w:tc>
        <w:tc>
          <w:tcPr>
            <w:tcW w:w="1843" w:type="dxa"/>
            <w:vAlign w:val="bottom"/>
          </w:tcPr>
          <w:p w:rsidR="005A2124" w:rsidRPr="00D8351B" w:rsidRDefault="000010F8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94,66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город Ульяновск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F647D1" w:rsidP="005A2124">
            <w:pPr>
              <w:jc w:val="center"/>
            </w:pPr>
            <w:r>
              <w:t>92,54</w:t>
            </w:r>
          </w:p>
        </w:tc>
        <w:tc>
          <w:tcPr>
            <w:tcW w:w="1843" w:type="dxa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93,65</w:t>
            </w:r>
          </w:p>
        </w:tc>
      </w:tr>
      <w:tr w:rsidR="005A2124" w:rsidRPr="00D8351B" w:rsidTr="0072747E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23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город Димитровград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Pr="00281DCE" w:rsidRDefault="005A2124" w:rsidP="005A2124">
            <w:pPr>
              <w:jc w:val="center"/>
            </w:pPr>
            <w:r w:rsidRPr="00281DCE">
              <w:t>100</w:t>
            </w:r>
          </w:p>
        </w:tc>
        <w:tc>
          <w:tcPr>
            <w:tcW w:w="1843" w:type="dxa"/>
            <w:vAlign w:val="bottom"/>
          </w:tcPr>
          <w:p w:rsidR="005A2124" w:rsidRPr="00D8351B" w:rsidRDefault="003B2BB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100</w:t>
            </w:r>
          </w:p>
        </w:tc>
      </w:tr>
      <w:tr w:rsidR="005A2124" w:rsidRPr="00D8351B" w:rsidTr="0072747E">
        <w:trPr>
          <w:trHeight w:val="246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24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5A2124" w:rsidRPr="00D8351B" w:rsidRDefault="005A2124" w:rsidP="005629F1">
            <w:pPr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город Новоульяновск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5A2124" w:rsidRDefault="005A2124" w:rsidP="005A2124">
            <w:pPr>
              <w:jc w:val="center"/>
            </w:pPr>
            <w:r w:rsidRPr="00281DCE">
              <w:t>20,41</w:t>
            </w:r>
          </w:p>
        </w:tc>
        <w:tc>
          <w:tcPr>
            <w:tcW w:w="1843" w:type="dxa"/>
            <w:vAlign w:val="bottom"/>
          </w:tcPr>
          <w:p w:rsidR="005A2124" w:rsidRPr="00D8351B" w:rsidRDefault="00F647D1" w:rsidP="005629F1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25,22</w:t>
            </w:r>
          </w:p>
        </w:tc>
      </w:tr>
    </w:tbl>
    <w:p w:rsidR="00D8351B" w:rsidRDefault="00D8351B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</w:p>
    <w:p w:rsidR="005F7969" w:rsidRDefault="00D8351B" w:rsidP="005F796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Общие сведения об установленных осветительных приборах систем наружного освещения, агрегированные по всем муниципальным образованиям Ульяновской области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по итогам 2023</w:t>
      </w: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года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приведены в таблице 8</w:t>
      </w:r>
      <w:r w:rsidR="005F7969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0A6D4C" w:rsidRDefault="000A6D4C" w:rsidP="00171C2E">
      <w:pPr>
        <w:tabs>
          <w:tab w:val="left" w:pos="0"/>
          <w:tab w:val="left" w:pos="5790"/>
        </w:tabs>
        <w:autoSpaceDE w:val="0"/>
        <w:autoSpaceDN w:val="0"/>
        <w:adjustRightInd w:val="0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</w:p>
    <w:p w:rsidR="007A272E" w:rsidRPr="005629F1" w:rsidRDefault="00171C2E" w:rsidP="00576CCD">
      <w:pPr>
        <w:tabs>
          <w:tab w:val="left" w:pos="0"/>
          <w:tab w:val="left" w:pos="5790"/>
        </w:tabs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8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17"/>
        <w:gridCol w:w="4736"/>
        <w:gridCol w:w="1134"/>
        <w:gridCol w:w="992"/>
        <w:gridCol w:w="1418"/>
        <w:gridCol w:w="992"/>
      </w:tblGrid>
      <w:tr w:rsidR="004C05CF" w:rsidRPr="00D8351B" w:rsidTr="00171C2E">
        <w:trPr>
          <w:trHeight w:val="51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D8351B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D8351B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D8351B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Муниципальные образования</w:t>
            </w:r>
          </w:p>
        </w:tc>
      </w:tr>
      <w:tr w:rsidR="000E4CDC" w:rsidRPr="00D8351B" w:rsidTr="00576CCD">
        <w:trPr>
          <w:trHeight w:val="9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80 478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576CCD">
        <w:trPr>
          <w:trHeight w:val="8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технологиям,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jc w:val="center"/>
              <w:rPr>
                <w:rFonts w:ascii="PT Astra Serif" w:hAnsi="PT Astra Serif"/>
                <w:bCs/>
              </w:rPr>
            </w:pPr>
            <w:r w:rsidRPr="00D8351B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jc w:val="center"/>
              <w:rPr>
                <w:rFonts w:ascii="PT Astra Serif" w:hAnsi="PT Astra Serif"/>
                <w:bCs/>
              </w:rPr>
            </w:pPr>
            <w:r w:rsidRPr="00D8351B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lang w:eastAsia="ru-RU"/>
              </w:rPr>
              <w:t>Х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светодиодных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69 588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proofErr w:type="spellStart"/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металлогалогенных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2.3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171C2E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натриевых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3 375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2.4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171C2E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ртутных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5 615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576CCD">
        <w:trPr>
          <w:trHeight w:val="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2.5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прочих </w:t>
            </w:r>
            <w:proofErr w:type="spellStart"/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светоточек</w:t>
            </w:r>
            <w:proofErr w:type="spellEnd"/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0E4CDC" w:rsidRPr="00D8351B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</w:tbl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EF5A47" w:rsidRDefault="00EF5A47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EF5A47" w:rsidRDefault="00171C2E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Р.Н.Хайрудинов</w:t>
      </w:r>
      <w:proofErr w:type="spellEnd"/>
    </w:p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576CCD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СОГЛАСОВАНО</w:t>
      </w:r>
      <w:r w:rsidR="000A6D4C">
        <w:rPr>
          <w:rFonts w:ascii="PT Astra Serif" w:eastAsia="Times New Roman" w:hAnsi="PT Astra Serif"/>
          <w:sz w:val="28"/>
          <w:szCs w:val="28"/>
        </w:rPr>
        <w:t>:</w:t>
      </w: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Заместитель Председателя </w:t>
      </w: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Правите</w:t>
      </w:r>
      <w:r w:rsidR="00883399">
        <w:rPr>
          <w:rFonts w:ascii="PT Astra Serif" w:eastAsia="Times New Roman" w:hAnsi="PT Astra Serif"/>
          <w:sz w:val="28"/>
          <w:szCs w:val="28"/>
        </w:rPr>
        <w:t>льств</w:t>
      </w:r>
      <w:r w:rsidR="00D92343">
        <w:rPr>
          <w:rFonts w:ascii="PT Astra Serif" w:eastAsia="Times New Roman" w:hAnsi="PT Astra Serif"/>
          <w:sz w:val="28"/>
          <w:szCs w:val="28"/>
        </w:rPr>
        <w:t>а Ульяновской области</w:t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  <w:t xml:space="preserve"> </w:t>
      </w:r>
      <w:proofErr w:type="spellStart"/>
      <w:r w:rsidR="00D92343">
        <w:rPr>
          <w:rFonts w:ascii="PT Astra Serif" w:eastAsia="Times New Roman" w:hAnsi="PT Astra Serif"/>
          <w:sz w:val="28"/>
          <w:szCs w:val="28"/>
        </w:rPr>
        <w:t>В.Ю.Пушкарев</w:t>
      </w:r>
      <w:proofErr w:type="spellEnd"/>
    </w:p>
    <w:sectPr w:rsidR="00EF5A47" w:rsidSect="00C004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30B1" w:rsidRDefault="00B730B1" w:rsidP="006B335C">
      <w:r>
        <w:separator/>
      </w:r>
    </w:p>
  </w:endnote>
  <w:endnote w:type="continuationSeparator" w:id="0">
    <w:p w:rsidR="00B730B1" w:rsidRDefault="00B730B1" w:rsidP="006B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47E" w:rsidRDefault="0072747E">
    <w:pPr>
      <w:pStyle w:val="aa"/>
    </w:pPr>
  </w:p>
  <w:p w:rsidR="0072747E" w:rsidRDefault="007274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47E" w:rsidRDefault="0072747E">
    <w:pPr>
      <w:pStyle w:val="aa"/>
    </w:pPr>
  </w:p>
  <w:p w:rsidR="0072747E" w:rsidRDefault="007274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47E" w:rsidRDefault="007274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30B1" w:rsidRDefault="00B730B1" w:rsidP="006B335C">
      <w:r>
        <w:separator/>
      </w:r>
    </w:p>
  </w:footnote>
  <w:footnote w:type="continuationSeparator" w:id="0">
    <w:p w:rsidR="00B730B1" w:rsidRDefault="00B730B1" w:rsidP="006B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6277304"/>
      <w:docPartObj>
        <w:docPartGallery w:val="Page Numbers (Top of Page)"/>
        <w:docPartUnique/>
      </w:docPartObj>
    </w:sdtPr>
    <w:sdtEndPr/>
    <w:sdtContent>
      <w:p w:rsidR="0072747E" w:rsidRDefault="0072747E" w:rsidP="00120B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CE9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747E" w:rsidRDefault="0072747E">
    <w:pPr>
      <w:pStyle w:val="a8"/>
    </w:pPr>
  </w:p>
  <w:p w:rsidR="0072747E" w:rsidRDefault="007274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9913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2747E" w:rsidRPr="00EF5A47" w:rsidRDefault="0072747E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EF5A47">
          <w:rPr>
            <w:rFonts w:ascii="PT Astra Serif" w:hAnsi="PT Astra Serif"/>
            <w:sz w:val="28"/>
            <w:szCs w:val="28"/>
          </w:rPr>
          <w:fldChar w:fldCharType="begin"/>
        </w:r>
        <w:r w:rsidRPr="00EF5A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EF5A47">
          <w:rPr>
            <w:rFonts w:ascii="PT Astra Serif" w:hAnsi="PT Astra Serif"/>
            <w:sz w:val="28"/>
            <w:szCs w:val="28"/>
          </w:rPr>
          <w:fldChar w:fldCharType="separate"/>
        </w:r>
        <w:r w:rsidR="00D92343">
          <w:rPr>
            <w:rFonts w:ascii="PT Astra Serif" w:hAnsi="PT Astra Serif"/>
            <w:noProof/>
            <w:sz w:val="28"/>
            <w:szCs w:val="28"/>
          </w:rPr>
          <w:t>26</w:t>
        </w:r>
        <w:r w:rsidRPr="00EF5A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2747E" w:rsidRDefault="0072747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663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2747E" w:rsidRPr="00EF5A47" w:rsidRDefault="0072747E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EF5A47">
          <w:rPr>
            <w:rFonts w:ascii="PT Astra Serif" w:hAnsi="PT Astra Serif"/>
            <w:sz w:val="28"/>
            <w:szCs w:val="28"/>
          </w:rPr>
          <w:fldChar w:fldCharType="begin"/>
        </w:r>
        <w:r w:rsidRPr="00EF5A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EF5A47">
          <w:rPr>
            <w:rFonts w:ascii="PT Astra Serif" w:hAnsi="PT Astra Serif"/>
            <w:sz w:val="28"/>
            <w:szCs w:val="28"/>
          </w:rPr>
          <w:fldChar w:fldCharType="separate"/>
        </w:r>
        <w:r w:rsidR="00F77CE9">
          <w:rPr>
            <w:rFonts w:ascii="PT Astra Serif" w:hAnsi="PT Astra Serif"/>
            <w:noProof/>
            <w:sz w:val="28"/>
            <w:szCs w:val="28"/>
          </w:rPr>
          <w:t>19</w:t>
        </w:r>
        <w:r w:rsidRPr="00EF5A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2747E" w:rsidRDefault="00727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6DE1"/>
    <w:multiLevelType w:val="multilevel"/>
    <w:tmpl w:val="23086F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67D0762"/>
    <w:multiLevelType w:val="hybridMultilevel"/>
    <w:tmpl w:val="D344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3728"/>
    <w:multiLevelType w:val="hybridMultilevel"/>
    <w:tmpl w:val="D5A243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D66CC"/>
    <w:multiLevelType w:val="hybridMultilevel"/>
    <w:tmpl w:val="F7204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775008"/>
    <w:multiLevelType w:val="multilevel"/>
    <w:tmpl w:val="F6DAA3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EEF64F7"/>
    <w:multiLevelType w:val="hybridMultilevel"/>
    <w:tmpl w:val="6634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3F96"/>
    <w:multiLevelType w:val="hybridMultilevel"/>
    <w:tmpl w:val="71EE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2637A"/>
    <w:multiLevelType w:val="hybridMultilevel"/>
    <w:tmpl w:val="C89E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901"/>
    <w:multiLevelType w:val="hybridMultilevel"/>
    <w:tmpl w:val="66C8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E1503"/>
    <w:multiLevelType w:val="hybridMultilevel"/>
    <w:tmpl w:val="B1F478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BA31A8"/>
    <w:multiLevelType w:val="hybridMultilevel"/>
    <w:tmpl w:val="7A04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C6B41"/>
    <w:multiLevelType w:val="hybridMultilevel"/>
    <w:tmpl w:val="1216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3E8B"/>
    <w:multiLevelType w:val="hybridMultilevel"/>
    <w:tmpl w:val="53462B72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09C1729"/>
    <w:multiLevelType w:val="hybridMultilevel"/>
    <w:tmpl w:val="B85E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20F18"/>
    <w:multiLevelType w:val="hybridMultilevel"/>
    <w:tmpl w:val="4ACCF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255F"/>
    <w:multiLevelType w:val="hybridMultilevel"/>
    <w:tmpl w:val="E86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B76"/>
    <w:multiLevelType w:val="multilevel"/>
    <w:tmpl w:val="12D021B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</w:rPr>
    </w:lvl>
  </w:abstractNum>
  <w:abstractNum w:abstractNumId="17" w15:restartNumberingAfterBreak="0">
    <w:nsid w:val="3EB9062F"/>
    <w:multiLevelType w:val="hybridMultilevel"/>
    <w:tmpl w:val="E19CD0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83352C"/>
    <w:multiLevelType w:val="hybridMultilevel"/>
    <w:tmpl w:val="9FB6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3B22"/>
    <w:multiLevelType w:val="hybridMultilevel"/>
    <w:tmpl w:val="3F7C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A1E58"/>
    <w:multiLevelType w:val="hybridMultilevel"/>
    <w:tmpl w:val="9966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A611C"/>
    <w:multiLevelType w:val="hybridMultilevel"/>
    <w:tmpl w:val="733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D4274"/>
    <w:multiLevelType w:val="hybridMultilevel"/>
    <w:tmpl w:val="0378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6813"/>
    <w:multiLevelType w:val="hybridMultilevel"/>
    <w:tmpl w:val="B0C619F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262B00"/>
    <w:multiLevelType w:val="multilevel"/>
    <w:tmpl w:val="98BE5F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ADC6367"/>
    <w:multiLevelType w:val="hybridMultilevel"/>
    <w:tmpl w:val="144634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5C544BDB"/>
    <w:multiLevelType w:val="hybridMultilevel"/>
    <w:tmpl w:val="0F68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E192D"/>
    <w:multiLevelType w:val="hybridMultilevel"/>
    <w:tmpl w:val="88C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6539D"/>
    <w:multiLevelType w:val="multilevel"/>
    <w:tmpl w:val="7D92C5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81" w:hanging="2160"/>
      </w:pPr>
      <w:rPr>
        <w:rFonts w:hint="default"/>
      </w:rPr>
    </w:lvl>
  </w:abstractNum>
  <w:abstractNum w:abstractNumId="29" w15:restartNumberingAfterBreak="0">
    <w:nsid w:val="61C2171E"/>
    <w:multiLevelType w:val="multilevel"/>
    <w:tmpl w:val="0252662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995D76"/>
    <w:multiLevelType w:val="hybridMultilevel"/>
    <w:tmpl w:val="80AC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A13BE"/>
    <w:multiLevelType w:val="hybridMultilevel"/>
    <w:tmpl w:val="A8BE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C73E5"/>
    <w:multiLevelType w:val="hybridMultilevel"/>
    <w:tmpl w:val="3C5C25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FE32E3D"/>
    <w:multiLevelType w:val="hybridMultilevel"/>
    <w:tmpl w:val="42D43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14305"/>
    <w:multiLevelType w:val="hybridMultilevel"/>
    <w:tmpl w:val="92C28738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52310BB"/>
    <w:multiLevelType w:val="multilevel"/>
    <w:tmpl w:val="4DB8E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735FD5"/>
    <w:multiLevelType w:val="hybridMultilevel"/>
    <w:tmpl w:val="22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9"/>
  </w:num>
  <w:num w:numId="4">
    <w:abstractNumId w:val="3"/>
  </w:num>
  <w:num w:numId="5">
    <w:abstractNumId w:val="13"/>
  </w:num>
  <w:num w:numId="6">
    <w:abstractNumId w:val="22"/>
  </w:num>
  <w:num w:numId="7">
    <w:abstractNumId w:val="1"/>
  </w:num>
  <w:num w:numId="8">
    <w:abstractNumId w:val="36"/>
  </w:num>
  <w:num w:numId="9">
    <w:abstractNumId w:val="6"/>
  </w:num>
  <w:num w:numId="10">
    <w:abstractNumId w:val="10"/>
  </w:num>
  <w:num w:numId="11">
    <w:abstractNumId w:val="19"/>
  </w:num>
  <w:num w:numId="12">
    <w:abstractNumId w:val="7"/>
  </w:num>
  <w:num w:numId="13">
    <w:abstractNumId w:val="18"/>
  </w:num>
  <w:num w:numId="14">
    <w:abstractNumId w:val="27"/>
  </w:num>
  <w:num w:numId="15">
    <w:abstractNumId w:val="5"/>
  </w:num>
  <w:num w:numId="16">
    <w:abstractNumId w:val="14"/>
  </w:num>
  <w:num w:numId="17">
    <w:abstractNumId w:val="21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33"/>
  </w:num>
  <w:num w:numId="23">
    <w:abstractNumId w:val="25"/>
  </w:num>
  <w:num w:numId="24">
    <w:abstractNumId w:val="17"/>
  </w:num>
  <w:num w:numId="25">
    <w:abstractNumId w:val="9"/>
  </w:num>
  <w:num w:numId="26">
    <w:abstractNumId w:val="23"/>
  </w:num>
  <w:num w:numId="27">
    <w:abstractNumId w:val="3"/>
  </w:num>
  <w:num w:numId="28">
    <w:abstractNumId w:val="35"/>
  </w:num>
  <w:num w:numId="29">
    <w:abstractNumId w:val="15"/>
  </w:num>
  <w:num w:numId="30">
    <w:abstractNumId w:val="8"/>
  </w:num>
  <w:num w:numId="31">
    <w:abstractNumId w:val="2"/>
  </w:num>
  <w:num w:numId="32">
    <w:abstractNumId w:val="28"/>
  </w:num>
  <w:num w:numId="33">
    <w:abstractNumId w:val="20"/>
  </w:num>
  <w:num w:numId="34">
    <w:abstractNumId w:val="32"/>
  </w:num>
  <w:num w:numId="35">
    <w:abstractNumId w:val="34"/>
  </w:num>
  <w:num w:numId="36">
    <w:abstractNumId w:val="4"/>
  </w:num>
  <w:num w:numId="37">
    <w:abstractNumId w:val="0"/>
  </w:num>
  <w:num w:numId="38">
    <w:abstractNumId w:val="29"/>
  </w:num>
  <w:num w:numId="39">
    <w:abstractNumId w:val="24"/>
  </w:num>
  <w:num w:numId="4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5C2"/>
    <w:rsid w:val="000004D1"/>
    <w:rsid w:val="00000EDA"/>
    <w:rsid w:val="000010F8"/>
    <w:rsid w:val="00002A6B"/>
    <w:rsid w:val="00004F0F"/>
    <w:rsid w:val="000052EF"/>
    <w:rsid w:val="000054B0"/>
    <w:rsid w:val="00006638"/>
    <w:rsid w:val="00006758"/>
    <w:rsid w:val="00006A65"/>
    <w:rsid w:val="00006F91"/>
    <w:rsid w:val="000119EC"/>
    <w:rsid w:val="00012008"/>
    <w:rsid w:val="00012C0D"/>
    <w:rsid w:val="00015F11"/>
    <w:rsid w:val="00017D08"/>
    <w:rsid w:val="00022E3F"/>
    <w:rsid w:val="00027A7F"/>
    <w:rsid w:val="00032C58"/>
    <w:rsid w:val="00033A81"/>
    <w:rsid w:val="00033D5C"/>
    <w:rsid w:val="00034D67"/>
    <w:rsid w:val="00036935"/>
    <w:rsid w:val="0003773C"/>
    <w:rsid w:val="00040BDE"/>
    <w:rsid w:val="00043648"/>
    <w:rsid w:val="00046A0D"/>
    <w:rsid w:val="00053FC4"/>
    <w:rsid w:val="00054CC7"/>
    <w:rsid w:val="0005535C"/>
    <w:rsid w:val="00056488"/>
    <w:rsid w:val="00056CFD"/>
    <w:rsid w:val="00057EF2"/>
    <w:rsid w:val="000619A9"/>
    <w:rsid w:val="0006224C"/>
    <w:rsid w:val="00065BBF"/>
    <w:rsid w:val="0006684C"/>
    <w:rsid w:val="000701A3"/>
    <w:rsid w:val="00072461"/>
    <w:rsid w:val="00074710"/>
    <w:rsid w:val="00075814"/>
    <w:rsid w:val="000762BF"/>
    <w:rsid w:val="00076689"/>
    <w:rsid w:val="00077431"/>
    <w:rsid w:val="000800D3"/>
    <w:rsid w:val="00080DF8"/>
    <w:rsid w:val="000812A5"/>
    <w:rsid w:val="0008254A"/>
    <w:rsid w:val="000826DF"/>
    <w:rsid w:val="00083EA9"/>
    <w:rsid w:val="00085DC9"/>
    <w:rsid w:val="00085E1D"/>
    <w:rsid w:val="00091761"/>
    <w:rsid w:val="00091C24"/>
    <w:rsid w:val="00095C4B"/>
    <w:rsid w:val="00096844"/>
    <w:rsid w:val="000A147B"/>
    <w:rsid w:val="000A1AB4"/>
    <w:rsid w:val="000A2C50"/>
    <w:rsid w:val="000A6D4C"/>
    <w:rsid w:val="000A71B0"/>
    <w:rsid w:val="000B03E7"/>
    <w:rsid w:val="000B2640"/>
    <w:rsid w:val="000B33EE"/>
    <w:rsid w:val="000B457D"/>
    <w:rsid w:val="000B516A"/>
    <w:rsid w:val="000B5207"/>
    <w:rsid w:val="000B67CB"/>
    <w:rsid w:val="000B6AD5"/>
    <w:rsid w:val="000B7F37"/>
    <w:rsid w:val="000C6100"/>
    <w:rsid w:val="000D4F12"/>
    <w:rsid w:val="000D5BD6"/>
    <w:rsid w:val="000D74E5"/>
    <w:rsid w:val="000E2663"/>
    <w:rsid w:val="000E2C1D"/>
    <w:rsid w:val="000E3724"/>
    <w:rsid w:val="000E4CDC"/>
    <w:rsid w:val="000E52C7"/>
    <w:rsid w:val="000F156A"/>
    <w:rsid w:val="000F2163"/>
    <w:rsid w:val="000F38FB"/>
    <w:rsid w:val="000F64A1"/>
    <w:rsid w:val="000F69AE"/>
    <w:rsid w:val="000F7240"/>
    <w:rsid w:val="00102450"/>
    <w:rsid w:val="00105CB5"/>
    <w:rsid w:val="00110C0A"/>
    <w:rsid w:val="00111440"/>
    <w:rsid w:val="001115D3"/>
    <w:rsid w:val="00112915"/>
    <w:rsid w:val="00116EC2"/>
    <w:rsid w:val="001179EC"/>
    <w:rsid w:val="00120307"/>
    <w:rsid w:val="00120B66"/>
    <w:rsid w:val="001210FC"/>
    <w:rsid w:val="00124EB5"/>
    <w:rsid w:val="00127C3B"/>
    <w:rsid w:val="00133562"/>
    <w:rsid w:val="001370F3"/>
    <w:rsid w:val="00140941"/>
    <w:rsid w:val="001442D8"/>
    <w:rsid w:val="001453A2"/>
    <w:rsid w:val="00146D99"/>
    <w:rsid w:val="00146F4C"/>
    <w:rsid w:val="00154CEB"/>
    <w:rsid w:val="00155E7B"/>
    <w:rsid w:val="00156F33"/>
    <w:rsid w:val="00156F8A"/>
    <w:rsid w:val="00163684"/>
    <w:rsid w:val="00163FC8"/>
    <w:rsid w:val="001657D6"/>
    <w:rsid w:val="00171C2E"/>
    <w:rsid w:val="00171F0F"/>
    <w:rsid w:val="0017201D"/>
    <w:rsid w:val="00173620"/>
    <w:rsid w:val="0017495C"/>
    <w:rsid w:val="00175DB1"/>
    <w:rsid w:val="00176908"/>
    <w:rsid w:val="00181798"/>
    <w:rsid w:val="001818CD"/>
    <w:rsid w:val="00181BA4"/>
    <w:rsid w:val="0018308A"/>
    <w:rsid w:val="00183117"/>
    <w:rsid w:val="00183952"/>
    <w:rsid w:val="00183971"/>
    <w:rsid w:val="00184A44"/>
    <w:rsid w:val="00185F58"/>
    <w:rsid w:val="00186518"/>
    <w:rsid w:val="00186A68"/>
    <w:rsid w:val="0019206B"/>
    <w:rsid w:val="00192175"/>
    <w:rsid w:val="0019237E"/>
    <w:rsid w:val="0019595E"/>
    <w:rsid w:val="001978CD"/>
    <w:rsid w:val="001A438B"/>
    <w:rsid w:val="001A5CA8"/>
    <w:rsid w:val="001A71FF"/>
    <w:rsid w:val="001B4030"/>
    <w:rsid w:val="001B630F"/>
    <w:rsid w:val="001C108B"/>
    <w:rsid w:val="001C1119"/>
    <w:rsid w:val="001C2A02"/>
    <w:rsid w:val="001D02E0"/>
    <w:rsid w:val="001D04CC"/>
    <w:rsid w:val="001D41E6"/>
    <w:rsid w:val="001D4389"/>
    <w:rsid w:val="001D43BE"/>
    <w:rsid w:val="001D441C"/>
    <w:rsid w:val="001E1822"/>
    <w:rsid w:val="001E2236"/>
    <w:rsid w:val="001F0FD4"/>
    <w:rsid w:val="001F217E"/>
    <w:rsid w:val="001F27D7"/>
    <w:rsid w:val="001F7289"/>
    <w:rsid w:val="00201C00"/>
    <w:rsid w:val="002104AB"/>
    <w:rsid w:val="002136CC"/>
    <w:rsid w:val="0021598C"/>
    <w:rsid w:val="00216700"/>
    <w:rsid w:val="00220522"/>
    <w:rsid w:val="0022137A"/>
    <w:rsid w:val="00223472"/>
    <w:rsid w:val="00224DE7"/>
    <w:rsid w:val="002269C1"/>
    <w:rsid w:val="002271C4"/>
    <w:rsid w:val="002331D2"/>
    <w:rsid w:val="0023584C"/>
    <w:rsid w:val="00243ACC"/>
    <w:rsid w:val="002456A6"/>
    <w:rsid w:val="002456E7"/>
    <w:rsid w:val="00245B5F"/>
    <w:rsid w:val="00250B02"/>
    <w:rsid w:val="00250B21"/>
    <w:rsid w:val="00252F49"/>
    <w:rsid w:val="002544B6"/>
    <w:rsid w:val="002556F8"/>
    <w:rsid w:val="0026147A"/>
    <w:rsid w:val="002618E1"/>
    <w:rsid w:val="002628FC"/>
    <w:rsid w:val="00262D72"/>
    <w:rsid w:val="00264986"/>
    <w:rsid w:val="00264C61"/>
    <w:rsid w:val="002660E4"/>
    <w:rsid w:val="0026645F"/>
    <w:rsid w:val="002700AE"/>
    <w:rsid w:val="00270F06"/>
    <w:rsid w:val="002770EF"/>
    <w:rsid w:val="002773F4"/>
    <w:rsid w:val="002831A8"/>
    <w:rsid w:val="00286D0D"/>
    <w:rsid w:val="00292428"/>
    <w:rsid w:val="00294B2A"/>
    <w:rsid w:val="00297C28"/>
    <w:rsid w:val="002A214F"/>
    <w:rsid w:val="002A4B99"/>
    <w:rsid w:val="002A550D"/>
    <w:rsid w:val="002A6A6A"/>
    <w:rsid w:val="002B0049"/>
    <w:rsid w:val="002B1E5A"/>
    <w:rsid w:val="002B2929"/>
    <w:rsid w:val="002B3FEF"/>
    <w:rsid w:val="002B4154"/>
    <w:rsid w:val="002B4EE8"/>
    <w:rsid w:val="002B593A"/>
    <w:rsid w:val="002B7633"/>
    <w:rsid w:val="002C0F8D"/>
    <w:rsid w:val="002C1138"/>
    <w:rsid w:val="002C4ABC"/>
    <w:rsid w:val="002C5B75"/>
    <w:rsid w:val="002C5E7A"/>
    <w:rsid w:val="002C6023"/>
    <w:rsid w:val="002D2ACB"/>
    <w:rsid w:val="002D2DC1"/>
    <w:rsid w:val="002D3661"/>
    <w:rsid w:val="002D4B05"/>
    <w:rsid w:val="002D5CEB"/>
    <w:rsid w:val="002E3F28"/>
    <w:rsid w:val="002E7E0E"/>
    <w:rsid w:val="002E7E49"/>
    <w:rsid w:val="002F12BD"/>
    <w:rsid w:val="002F145F"/>
    <w:rsid w:val="002F2BCC"/>
    <w:rsid w:val="002F47D1"/>
    <w:rsid w:val="002F4C89"/>
    <w:rsid w:val="002F4E8B"/>
    <w:rsid w:val="002F7E89"/>
    <w:rsid w:val="00300913"/>
    <w:rsid w:val="00300A91"/>
    <w:rsid w:val="00304C34"/>
    <w:rsid w:val="003055C9"/>
    <w:rsid w:val="003059E2"/>
    <w:rsid w:val="00315515"/>
    <w:rsid w:val="00316774"/>
    <w:rsid w:val="00321C85"/>
    <w:rsid w:val="00321DCA"/>
    <w:rsid w:val="0032398D"/>
    <w:rsid w:val="0032722D"/>
    <w:rsid w:val="0032745B"/>
    <w:rsid w:val="00330BD6"/>
    <w:rsid w:val="00330DA1"/>
    <w:rsid w:val="00331568"/>
    <w:rsid w:val="003317AA"/>
    <w:rsid w:val="00332069"/>
    <w:rsid w:val="003325B0"/>
    <w:rsid w:val="00334F69"/>
    <w:rsid w:val="003366B4"/>
    <w:rsid w:val="00340DE1"/>
    <w:rsid w:val="00344EC2"/>
    <w:rsid w:val="00346229"/>
    <w:rsid w:val="0034652B"/>
    <w:rsid w:val="00346564"/>
    <w:rsid w:val="00347E37"/>
    <w:rsid w:val="00350833"/>
    <w:rsid w:val="00350FD5"/>
    <w:rsid w:val="00351147"/>
    <w:rsid w:val="00352CA4"/>
    <w:rsid w:val="003562AE"/>
    <w:rsid w:val="00361409"/>
    <w:rsid w:val="00361A00"/>
    <w:rsid w:val="0036315A"/>
    <w:rsid w:val="003632C8"/>
    <w:rsid w:val="00363FB8"/>
    <w:rsid w:val="0036652C"/>
    <w:rsid w:val="0037182C"/>
    <w:rsid w:val="003768BD"/>
    <w:rsid w:val="003769E1"/>
    <w:rsid w:val="003777C2"/>
    <w:rsid w:val="00380C07"/>
    <w:rsid w:val="00381681"/>
    <w:rsid w:val="003854BA"/>
    <w:rsid w:val="0038621B"/>
    <w:rsid w:val="00386C50"/>
    <w:rsid w:val="003922D3"/>
    <w:rsid w:val="00392398"/>
    <w:rsid w:val="003924E2"/>
    <w:rsid w:val="00395357"/>
    <w:rsid w:val="003A0918"/>
    <w:rsid w:val="003A4ADD"/>
    <w:rsid w:val="003A7CCE"/>
    <w:rsid w:val="003B11A3"/>
    <w:rsid w:val="003B2BB1"/>
    <w:rsid w:val="003B60DA"/>
    <w:rsid w:val="003C12AA"/>
    <w:rsid w:val="003C2E77"/>
    <w:rsid w:val="003C5111"/>
    <w:rsid w:val="003C5463"/>
    <w:rsid w:val="003C768D"/>
    <w:rsid w:val="003D0A1B"/>
    <w:rsid w:val="003D1535"/>
    <w:rsid w:val="003D2467"/>
    <w:rsid w:val="003D49BB"/>
    <w:rsid w:val="003D4FA2"/>
    <w:rsid w:val="003D5574"/>
    <w:rsid w:val="003D5E7F"/>
    <w:rsid w:val="003D77B8"/>
    <w:rsid w:val="003E10DB"/>
    <w:rsid w:val="003E3E78"/>
    <w:rsid w:val="003E4C58"/>
    <w:rsid w:val="003E667D"/>
    <w:rsid w:val="003E7C45"/>
    <w:rsid w:val="003F1536"/>
    <w:rsid w:val="003F1585"/>
    <w:rsid w:val="003F5D4C"/>
    <w:rsid w:val="0040449E"/>
    <w:rsid w:val="004138A2"/>
    <w:rsid w:val="00414785"/>
    <w:rsid w:val="004210B9"/>
    <w:rsid w:val="0042408D"/>
    <w:rsid w:val="00424230"/>
    <w:rsid w:val="004258A6"/>
    <w:rsid w:val="00427150"/>
    <w:rsid w:val="004271DD"/>
    <w:rsid w:val="00427CBE"/>
    <w:rsid w:val="00427E8C"/>
    <w:rsid w:val="00430F81"/>
    <w:rsid w:val="00434656"/>
    <w:rsid w:val="00434CAB"/>
    <w:rsid w:val="004375DE"/>
    <w:rsid w:val="0044135E"/>
    <w:rsid w:val="00442729"/>
    <w:rsid w:val="00442B1A"/>
    <w:rsid w:val="00445948"/>
    <w:rsid w:val="0044633D"/>
    <w:rsid w:val="00450A5C"/>
    <w:rsid w:val="00450D8C"/>
    <w:rsid w:val="0045315F"/>
    <w:rsid w:val="0045323B"/>
    <w:rsid w:val="00453ACB"/>
    <w:rsid w:val="0045431F"/>
    <w:rsid w:val="00456E94"/>
    <w:rsid w:val="004616A5"/>
    <w:rsid w:val="00462B2C"/>
    <w:rsid w:val="00463BAD"/>
    <w:rsid w:val="00471EE5"/>
    <w:rsid w:val="00473881"/>
    <w:rsid w:val="00473FAE"/>
    <w:rsid w:val="004762F6"/>
    <w:rsid w:val="00480EB6"/>
    <w:rsid w:val="00482FAF"/>
    <w:rsid w:val="00485609"/>
    <w:rsid w:val="00485B74"/>
    <w:rsid w:val="004864F4"/>
    <w:rsid w:val="00492D77"/>
    <w:rsid w:val="00493F75"/>
    <w:rsid w:val="0049427D"/>
    <w:rsid w:val="004A3B2C"/>
    <w:rsid w:val="004B3804"/>
    <w:rsid w:val="004B3893"/>
    <w:rsid w:val="004B435F"/>
    <w:rsid w:val="004C047F"/>
    <w:rsid w:val="004C05CF"/>
    <w:rsid w:val="004C131E"/>
    <w:rsid w:val="004C1607"/>
    <w:rsid w:val="004C276C"/>
    <w:rsid w:val="004C3181"/>
    <w:rsid w:val="004C4AA6"/>
    <w:rsid w:val="004C54A7"/>
    <w:rsid w:val="004C54CF"/>
    <w:rsid w:val="004D3BA7"/>
    <w:rsid w:val="004D41AB"/>
    <w:rsid w:val="004D6472"/>
    <w:rsid w:val="004E1D56"/>
    <w:rsid w:val="004E2A66"/>
    <w:rsid w:val="004E3B6D"/>
    <w:rsid w:val="004F03D5"/>
    <w:rsid w:val="004F0629"/>
    <w:rsid w:val="004F343D"/>
    <w:rsid w:val="004F3EC2"/>
    <w:rsid w:val="004F5023"/>
    <w:rsid w:val="00502C75"/>
    <w:rsid w:val="00503132"/>
    <w:rsid w:val="00505DDB"/>
    <w:rsid w:val="005072F6"/>
    <w:rsid w:val="005073AB"/>
    <w:rsid w:val="00510B1B"/>
    <w:rsid w:val="00510EC2"/>
    <w:rsid w:val="00513BAB"/>
    <w:rsid w:val="00520A11"/>
    <w:rsid w:val="00521863"/>
    <w:rsid w:val="005233FF"/>
    <w:rsid w:val="00523578"/>
    <w:rsid w:val="005246AB"/>
    <w:rsid w:val="005260D5"/>
    <w:rsid w:val="00531A5E"/>
    <w:rsid w:val="00536798"/>
    <w:rsid w:val="00536A79"/>
    <w:rsid w:val="00537372"/>
    <w:rsid w:val="005379CA"/>
    <w:rsid w:val="00544CD5"/>
    <w:rsid w:val="00546DEB"/>
    <w:rsid w:val="00546DF6"/>
    <w:rsid w:val="005474CB"/>
    <w:rsid w:val="0055507F"/>
    <w:rsid w:val="005613B6"/>
    <w:rsid w:val="005629F1"/>
    <w:rsid w:val="00562A8D"/>
    <w:rsid w:val="0056304C"/>
    <w:rsid w:val="0056355A"/>
    <w:rsid w:val="00567333"/>
    <w:rsid w:val="00570F6B"/>
    <w:rsid w:val="00571609"/>
    <w:rsid w:val="00571DE8"/>
    <w:rsid w:val="005755DA"/>
    <w:rsid w:val="00575856"/>
    <w:rsid w:val="00576CCD"/>
    <w:rsid w:val="005806B3"/>
    <w:rsid w:val="00580BA7"/>
    <w:rsid w:val="005825B0"/>
    <w:rsid w:val="00582B74"/>
    <w:rsid w:val="00584DA5"/>
    <w:rsid w:val="00586EE5"/>
    <w:rsid w:val="00592766"/>
    <w:rsid w:val="00593DFE"/>
    <w:rsid w:val="00593FC7"/>
    <w:rsid w:val="00594C72"/>
    <w:rsid w:val="00596BED"/>
    <w:rsid w:val="00597A36"/>
    <w:rsid w:val="00597DF9"/>
    <w:rsid w:val="005A061A"/>
    <w:rsid w:val="005A2124"/>
    <w:rsid w:val="005A4384"/>
    <w:rsid w:val="005A5680"/>
    <w:rsid w:val="005A68CE"/>
    <w:rsid w:val="005B08BE"/>
    <w:rsid w:val="005B393A"/>
    <w:rsid w:val="005B4555"/>
    <w:rsid w:val="005B485A"/>
    <w:rsid w:val="005B5179"/>
    <w:rsid w:val="005B74A1"/>
    <w:rsid w:val="005C03D0"/>
    <w:rsid w:val="005C274F"/>
    <w:rsid w:val="005C2B51"/>
    <w:rsid w:val="005C442D"/>
    <w:rsid w:val="005D01EA"/>
    <w:rsid w:val="005D1AFF"/>
    <w:rsid w:val="005D3B9D"/>
    <w:rsid w:val="005D3E53"/>
    <w:rsid w:val="005D53D6"/>
    <w:rsid w:val="005D5E10"/>
    <w:rsid w:val="005D72CD"/>
    <w:rsid w:val="005E0039"/>
    <w:rsid w:val="005E7FC7"/>
    <w:rsid w:val="005F11F2"/>
    <w:rsid w:val="005F142F"/>
    <w:rsid w:val="005F164E"/>
    <w:rsid w:val="005F29CF"/>
    <w:rsid w:val="005F39C0"/>
    <w:rsid w:val="005F53E4"/>
    <w:rsid w:val="005F6935"/>
    <w:rsid w:val="005F7969"/>
    <w:rsid w:val="006003B6"/>
    <w:rsid w:val="00600702"/>
    <w:rsid w:val="0060163F"/>
    <w:rsid w:val="00601966"/>
    <w:rsid w:val="00602E97"/>
    <w:rsid w:val="00605BCE"/>
    <w:rsid w:val="00607660"/>
    <w:rsid w:val="00607A91"/>
    <w:rsid w:val="00612471"/>
    <w:rsid w:val="006127C3"/>
    <w:rsid w:val="00612B35"/>
    <w:rsid w:val="006130BC"/>
    <w:rsid w:val="00614E55"/>
    <w:rsid w:val="00620616"/>
    <w:rsid w:val="00623DBE"/>
    <w:rsid w:val="00625335"/>
    <w:rsid w:val="0062651F"/>
    <w:rsid w:val="00633848"/>
    <w:rsid w:val="0063455A"/>
    <w:rsid w:val="00635683"/>
    <w:rsid w:val="00635F2F"/>
    <w:rsid w:val="00636281"/>
    <w:rsid w:val="006362F9"/>
    <w:rsid w:val="00637170"/>
    <w:rsid w:val="00640CE6"/>
    <w:rsid w:val="00641FD5"/>
    <w:rsid w:val="006432B1"/>
    <w:rsid w:val="0065352B"/>
    <w:rsid w:val="00657679"/>
    <w:rsid w:val="006608F3"/>
    <w:rsid w:val="00663DE6"/>
    <w:rsid w:val="00664C98"/>
    <w:rsid w:val="00665914"/>
    <w:rsid w:val="00670770"/>
    <w:rsid w:val="00670856"/>
    <w:rsid w:val="006708E5"/>
    <w:rsid w:val="00673A97"/>
    <w:rsid w:val="006752C5"/>
    <w:rsid w:val="006754FE"/>
    <w:rsid w:val="00676995"/>
    <w:rsid w:val="00677A74"/>
    <w:rsid w:val="00681BFA"/>
    <w:rsid w:val="006837EF"/>
    <w:rsid w:val="00684F6C"/>
    <w:rsid w:val="00685345"/>
    <w:rsid w:val="00685381"/>
    <w:rsid w:val="006859A5"/>
    <w:rsid w:val="00685CC9"/>
    <w:rsid w:val="00686504"/>
    <w:rsid w:val="00687B09"/>
    <w:rsid w:val="00690A61"/>
    <w:rsid w:val="006913CF"/>
    <w:rsid w:val="00691BC2"/>
    <w:rsid w:val="00696B22"/>
    <w:rsid w:val="00697120"/>
    <w:rsid w:val="00697FAD"/>
    <w:rsid w:val="006A156F"/>
    <w:rsid w:val="006A2AA9"/>
    <w:rsid w:val="006A356B"/>
    <w:rsid w:val="006A3FE4"/>
    <w:rsid w:val="006A4117"/>
    <w:rsid w:val="006B0304"/>
    <w:rsid w:val="006B0A40"/>
    <w:rsid w:val="006B335C"/>
    <w:rsid w:val="006B446E"/>
    <w:rsid w:val="006B45C2"/>
    <w:rsid w:val="006B6926"/>
    <w:rsid w:val="006B715E"/>
    <w:rsid w:val="006B7536"/>
    <w:rsid w:val="006C0252"/>
    <w:rsid w:val="006C09C9"/>
    <w:rsid w:val="006C0E72"/>
    <w:rsid w:val="006C1034"/>
    <w:rsid w:val="006C425A"/>
    <w:rsid w:val="006D0017"/>
    <w:rsid w:val="006D3324"/>
    <w:rsid w:val="006D68A1"/>
    <w:rsid w:val="006D72C4"/>
    <w:rsid w:val="006E41AA"/>
    <w:rsid w:val="006E4803"/>
    <w:rsid w:val="006E5BE9"/>
    <w:rsid w:val="006E68C5"/>
    <w:rsid w:val="006F0A35"/>
    <w:rsid w:val="006F1C4F"/>
    <w:rsid w:val="006F3AA5"/>
    <w:rsid w:val="006F4C75"/>
    <w:rsid w:val="006F4C82"/>
    <w:rsid w:val="006F4D05"/>
    <w:rsid w:val="007065EB"/>
    <w:rsid w:val="00707077"/>
    <w:rsid w:val="007070FD"/>
    <w:rsid w:val="0071076E"/>
    <w:rsid w:val="007114A0"/>
    <w:rsid w:val="007146B7"/>
    <w:rsid w:val="0071714D"/>
    <w:rsid w:val="00720164"/>
    <w:rsid w:val="00725340"/>
    <w:rsid w:val="0072747E"/>
    <w:rsid w:val="00730D38"/>
    <w:rsid w:val="0073303D"/>
    <w:rsid w:val="0073313C"/>
    <w:rsid w:val="00733F45"/>
    <w:rsid w:val="0074385F"/>
    <w:rsid w:val="0074473F"/>
    <w:rsid w:val="00744D36"/>
    <w:rsid w:val="0074531D"/>
    <w:rsid w:val="00745C6E"/>
    <w:rsid w:val="0075019E"/>
    <w:rsid w:val="00752179"/>
    <w:rsid w:val="00752A80"/>
    <w:rsid w:val="00761F56"/>
    <w:rsid w:val="00762B61"/>
    <w:rsid w:val="0076433E"/>
    <w:rsid w:val="00765B54"/>
    <w:rsid w:val="00766B1F"/>
    <w:rsid w:val="00767F7D"/>
    <w:rsid w:val="0077058A"/>
    <w:rsid w:val="00771591"/>
    <w:rsid w:val="007717C0"/>
    <w:rsid w:val="007735C0"/>
    <w:rsid w:val="007746EA"/>
    <w:rsid w:val="00774ADC"/>
    <w:rsid w:val="007761F5"/>
    <w:rsid w:val="00776916"/>
    <w:rsid w:val="00780013"/>
    <w:rsid w:val="0078016B"/>
    <w:rsid w:val="00781704"/>
    <w:rsid w:val="00781C10"/>
    <w:rsid w:val="007845A0"/>
    <w:rsid w:val="0078507A"/>
    <w:rsid w:val="00786324"/>
    <w:rsid w:val="007870A4"/>
    <w:rsid w:val="0078751B"/>
    <w:rsid w:val="007905D2"/>
    <w:rsid w:val="00790C64"/>
    <w:rsid w:val="00791B5F"/>
    <w:rsid w:val="00791D3E"/>
    <w:rsid w:val="007937FA"/>
    <w:rsid w:val="00793E44"/>
    <w:rsid w:val="00794D14"/>
    <w:rsid w:val="00796783"/>
    <w:rsid w:val="00797D41"/>
    <w:rsid w:val="007A0510"/>
    <w:rsid w:val="007A1095"/>
    <w:rsid w:val="007A272E"/>
    <w:rsid w:val="007A2F46"/>
    <w:rsid w:val="007A5DB0"/>
    <w:rsid w:val="007A602C"/>
    <w:rsid w:val="007A6AB8"/>
    <w:rsid w:val="007A7B9E"/>
    <w:rsid w:val="007B01A7"/>
    <w:rsid w:val="007B17D5"/>
    <w:rsid w:val="007B2B13"/>
    <w:rsid w:val="007B3454"/>
    <w:rsid w:val="007B7496"/>
    <w:rsid w:val="007B76F8"/>
    <w:rsid w:val="007C255F"/>
    <w:rsid w:val="007C37F7"/>
    <w:rsid w:val="007C3C92"/>
    <w:rsid w:val="007C401E"/>
    <w:rsid w:val="007C42DE"/>
    <w:rsid w:val="007C6E16"/>
    <w:rsid w:val="007D3A73"/>
    <w:rsid w:val="007D3D69"/>
    <w:rsid w:val="007D6AE8"/>
    <w:rsid w:val="007D7AB7"/>
    <w:rsid w:val="007D7BF4"/>
    <w:rsid w:val="007E0FAC"/>
    <w:rsid w:val="007E35DD"/>
    <w:rsid w:val="007E679D"/>
    <w:rsid w:val="007E6918"/>
    <w:rsid w:val="007F092A"/>
    <w:rsid w:val="007F0D0F"/>
    <w:rsid w:val="007F27FC"/>
    <w:rsid w:val="007F5F6F"/>
    <w:rsid w:val="007F5FE9"/>
    <w:rsid w:val="007F68D1"/>
    <w:rsid w:val="00805E0A"/>
    <w:rsid w:val="00807069"/>
    <w:rsid w:val="00807F2D"/>
    <w:rsid w:val="00811B0F"/>
    <w:rsid w:val="0081515E"/>
    <w:rsid w:val="00815F94"/>
    <w:rsid w:val="00815FB3"/>
    <w:rsid w:val="00816644"/>
    <w:rsid w:val="00816AE2"/>
    <w:rsid w:val="00816B9D"/>
    <w:rsid w:val="008170AB"/>
    <w:rsid w:val="008219E6"/>
    <w:rsid w:val="00822069"/>
    <w:rsid w:val="00822DA8"/>
    <w:rsid w:val="00824288"/>
    <w:rsid w:val="008246CB"/>
    <w:rsid w:val="00826059"/>
    <w:rsid w:val="00831B6B"/>
    <w:rsid w:val="00832E1E"/>
    <w:rsid w:val="0083456D"/>
    <w:rsid w:val="008360D8"/>
    <w:rsid w:val="00836674"/>
    <w:rsid w:val="008379D4"/>
    <w:rsid w:val="00837A92"/>
    <w:rsid w:val="00841B85"/>
    <w:rsid w:val="008424B2"/>
    <w:rsid w:val="00844A02"/>
    <w:rsid w:val="008517DB"/>
    <w:rsid w:val="008531A2"/>
    <w:rsid w:val="00856C26"/>
    <w:rsid w:val="008635CA"/>
    <w:rsid w:val="00863F4A"/>
    <w:rsid w:val="0087169B"/>
    <w:rsid w:val="0087172F"/>
    <w:rsid w:val="008731C5"/>
    <w:rsid w:val="0087556B"/>
    <w:rsid w:val="008829F1"/>
    <w:rsid w:val="00883399"/>
    <w:rsid w:val="00884BE5"/>
    <w:rsid w:val="008854EF"/>
    <w:rsid w:val="00885570"/>
    <w:rsid w:val="00885723"/>
    <w:rsid w:val="00890469"/>
    <w:rsid w:val="00891C2A"/>
    <w:rsid w:val="00893F5B"/>
    <w:rsid w:val="00894233"/>
    <w:rsid w:val="00896244"/>
    <w:rsid w:val="008A05FF"/>
    <w:rsid w:val="008A2B66"/>
    <w:rsid w:val="008A35AD"/>
    <w:rsid w:val="008A45B7"/>
    <w:rsid w:val="008A5316"/>
    <w:rsid w:val="008A6450"/>
    <w:rsid w:val="008A66B5"/>
    <w:rsid w:val="008B089F"/>
    <w:rsid w:val="008B15DE"/>
    <w:rsid w:val="008B1E72"/>
    <w:rsid w:val="008B4AF4"/>
    <w:rsid w:val="008B4BE9"/>
    <w:rsid w:val="008B525A"/>
    <w:rsid w:val="008B7F7F"/>
    <w:rsid w:val="008C33D2"/>
    <w:rsid w:val="008D0548"/>
    <w:rsid w:val="008D47C6"/>
    <w:rsid w:val="008D4C07"/>
    <w:rsid w:val="008E0813"/>
    <w:rsid w:val="008E140D"/>
    <w:rsid w:val="008E6FFC"/>
    <w:rsid w:val="008E7E54"/>
    <w:rsid w:val="008F6A83"/>
    <w:rsid w:val="008F7587"/>
    <w:rsid w:val="00900960"/>
    <w:rsid w:val="00901814"/>
    <w:rsid w:val="009030B5"/>
    <w:rsid w:val="00904948"/>
    <w:rsid w:val="009101B4"/>
    <w:rsid w:val="00911291"/>
    <w:rsid w:val="0091393E"/>
    <w:rsid w:val="0091508E"/>
    <w:rsid w:val="00915DF3"/>
    <w:rsid w:val="00915FD0"/>
    <w:rsid w:val="009176C6"/>
    <w:rsid w:val="00921769"/>
    <w:rsid w:val="009228C7"/>
    <w:rsid w:val="009246FD"/>
    <w:rsid w:val="009270D2"/>
    <w:rsid w:val="00927B67"/>
    <w:rsid w:val="0093230C"/>
    <w:rsid w:val="00932640"/>
    <w:rsid w:val="00934DE8"/>
    <w:rsid w:val="009357CA"/>
    <w:rsid w:val="00937E0E"/>
    <w:rsid w:val="00940288"/>
    <w:rsid w:val="00941D35"/>
    <w:rsid w:val="00942512"/>
    <w:rsid w:val="00943EC1"/>
    <w:rsid w:val="009459D2"/>
    <w:rsid w:val="00945EE8"/>
    <w:rsid w:val="00946EBA"/>
    <w:rsid w:val="009503C8"/>
    <w:rsid w:val="00955C58"/>
    <w:rsid w:val="00955E25"/>
    <w:rsid w:val="00960394"/>
    <w:rsid w:val="00960628"/>
    <w:rsid w:val="0096067B"/>
    <w:rsid w:val="00963F62"/>
    <w:rsid w:val="009654B3"/>
    <w:rsid w:val="009675E1"/>
    <w:rsid w:val="009678A8"/>
    <w:rsid w:val="00971C46"/>
    <w:rsid w:val="0097542D"/>
    <w:rsid w:val="0097725B"/>
    <w:rsid w:val="00982780"/>
    <w:rsid w:val="00984DCF"/>
    <w:rsid w:val="009857CA"/>
    <w:rsid w:val="00985D4B"/>
    <w:rsid w:val="00987040"/>
    <w:rsid w:val="00991CEA"/>
    <w:rsid w:val="00992234"/>
    <w:rsid w:val="00992560"/>
    <w:rsid w:val="00994C14"/>
    <w:rsid w:val="00994C48"/>
    <w:rsid w:val="009A13B1"/>
    <w:rsid w:val="009A2666"/>
    <w:rsid w:val="009A331B"/>
    <w:rsid w:val="009A42D1"/>
    <w:rsid w:val="009A65AB"/>
    <w:rsid w:val="009B42D6"/>
    <w:rsid w:val="009B6962"/>
    <w:rsid w:val="009B6A1D"/>
    <w:rsid w:val="009C05DD"/>
    <w:rsid w:val="009C129A"/>
    <w:rsid w:val="009C38AB"/>
    <w:rsid w:val="009C4462"/>
    <w:rsid w:val="009C549C"/>
    <w:rsid w:val="009C5877"/>
    <w:rsid w:val="009D36C1"/>
    <w:rsid w:val="009D3B07"/>
    <w:rsid w:val="009D4777"/>
    <w:rsid w:val="009D584E"/>
    <w:rsid w:val="009E0010"/>
    <w:rsid w:val="009E0E94"/>
    <w:rsid w:val="009E25B7"/>
    <w:rsid w:val="009E3307"/>
    <w:rsid w:val="009E5F4F"/>
    <w:rsid w:val="009E72B9"/>
    <w:rsid w:val="009E7E6F"/>
    <w:rsid w:val="009F1494"/>
    <w:rsid w:val="009F14F3"/>
    <w:rsid w:val="009F1888"/>
    <w:rsid w:val="00A01550"/>
    <w:rsid w:val="00A044A1"/>
    <w:rsid w:val="00A046E6"/>
    <w:rsid w:val="00A04BFE"/>
    <w:rsid w:val="00A06178"/>
    <w:rsid w:val="00A07283"/>
    <w:rsid w:val="00A10609"/>
    <w:rsid w:val="00A10DD0"/>
    <w:rsid w:val="00A1238B"/>
    <w:rsid w:val="00A14600"/>
    <w:rsid w:val="00A1762C"/>
    <w:rsid w:val="00A21BDF"/>
    <w:rsid w:val="00A2239B"/>
    <w:rsid w:val="00A24021"/>
    <w:rsid w:val="00A252D4"/>
    <w:rsid w:val="00A25E90"/>
    <w:rsid w:val="00A31085"/>
    <w:rsid w:val="00A32112"/>
    <w:rsid w:val="00A33479"/>
    <w:rsid w:val="00A34952"/>
    <w:rsid w:val="00A35C60"/>
    <w:rsid w:val="00A36749"/>
    <w:rsid w:val="00A37407"/>
    <w:rsid w:val="00A43CB4"/>
    <w:rsid w:val="00A4638C"/>
    <w:rsid w:val="00A46732"/>
    <w:rsid w:val="00A524D8"/>
    <w:rsid w:val="00A55B90"/>
    <w:rsid w:val="00A56B1B"/>
    <w:rsid w:val="00A57F8A"/>
    <w:rsid w:val="00A63BC9"/>
    <w:rsid w:val="00A65E69"/>
    <w:rsid w:val="00A667ED"/>
    <w:rsid w:val="00A70A32"/>
    <w:rsid w:val="00A73552"/>
    <w:rsid w:val="00A747A0"/>
    <w:rsid w:val="00A7584F"/>
    <w:rsid w:val="00A817D6"/>
    <w:rsid w:val="00A82815"/>
    <w:rsid w:val="00A867F8"/>
    <w:rsid w:val="00A86BFF"/>
    <w:rsid w:val="00A97EAB"/>
    <w:rsid w:val="00AA058F"/>
    <w:rsid w:val="00AA1F4A"/>
    <w:rsid w:val="00AA53D7"/>
    <w:rsid w:val="00AA76E8"/>
    <w:rsid w:val="00AB0FFB"/>
    <w:rsid w:val="00AB4E8A"/>
    <w:rsid w:val="00AC0355"/>
    <w:rsid w:val="00AC0C7D"/>
    <w:rsid w:val="00AC2602"/>
    <w:rsid w:val="00AC5050"/>
    <w:rsid w:val="00AC6AD5"/>
    <w:rsid w:val="00AD02D7"/>
    <w:rsid w:val="00AD2C24"/>
    <w:rsid w:val="00AD6668"/>
    <w:rsid w:val="00AD66DF"/>
    <w:rsid w:val="00AE27B3"/>
    <w:rsid w:val="00AE3D1C"/>
    <w:rsid w:val="00AE5D1F"/>
    <w:rsid w:val="00AE61FF"/>
    <w:rsid w:val="00AE7179"/>
    <w:rsid w:val="00AF22AD"/>
    <w:rsid w:val="00AF371C"/>
    <w:rsid w:val="00AF7A5D"/>
    <w:rsid w:val="00B01AEF"/>
    <w:rsid w:val="00B01B37"/>
    <w:rsid w:val="00B01F8C"/>
    <w:rsid w:val="00B03C0B"/>
    <w:rsid w:val="00B0509A"/>
    <w:rsid w:val="00B058BA"/>
    <w:rsid w:val="00B06151"/>
    <w:rsid w:val="00B105CD"/>
    <w:rsid w:val="00B109FE"/>
    <w:rsid w:val="00B10A3D"/>
    <w:rsid w:val="00B11C8E"/>
    <w:rsid w:val="00B120D5"/>
    <w:rsid w:val="00B1633B"/>
    <w:rsid w:val="00B16E0F"/>
    <w:rsid w:val="00B22AF7"/>
    <w:rsid w:val="00B25D1F"/>
    <w:rsid w:val="00B30C07"/>
    <w:rsid w:val="00B31A25"/>
    <w:rsid w:val="00B31FED"/>
    <w:rsid w:val="00B36731"/>
    <w:rsid w:val="00B36F69"/>
    <w:rsid w:val="00B37558"/>
    <w:rsid w:val="00B4025C"/>
    <w:rsid w:val="00B40F52"/>
    <w:rsid w:val="00B410D7"/>
    <w:rsid w:val="00B41861"/>
    <w:rsid w:val="00B447E0"/>
    <w:rsid w:val="00B455DE"/>
    <w:rsid w:val="00B460A9"/>
    <w:rsid w:val="00B4659E"/>
    <w:rsid w:val="00B46C6F"/>
    <w:rsid w:val="00B4701B"/>
    <w:rsid w:val="00B51100"/>
    <w:rsid w:val="00B5504D"/>
    <w:rsid w:val="00B55AC6"/>
    <w:rsid w:val="00B64689"/>
    <w:rsid w:val="00B66C32"/>
    <w:rsid w:val="00B67B5D"/>
    <w:rsid w:val="00B70E19"/>
    <w:rsid w:val="00B730B1"/>
    <w:rsid w:val="00B75A7C"/>
    <w:rsid w:val="00B75D2F"/>
    <w:rsid w:val="00B76074"/>
    <w:rsid w:val="00B76F8C"/>
    <w:rsid w:val="00B8160E"/>
    <w:rsid w:val="00B82AB0"/>
    <w:rsid w:val="00B83072"/>
    <w:rsid w:val="00B85CDE"/>
    <w:rsid w:val="00B8738B"/>
    <w:rsid w:val="00B90DBC"/>
    <w:rsid w:val="00B91ACA"/>
    <w:rsid w:val="00B93B98"/>
    <w:rsid w:val="00B95229"/>
    <w:rsid w:val="00B97289"/>
    <w:rsid w:val="00B97BE7"/>
    <w:rsid w:val="00BA0276"/>
    <w:rsid w:val="00BA06DC"/>
    <w:rsid w:val="00BA2A5A"/>
    <w:rsid w:val="00BA4ED6"/>
    <w:rsid w:val="00BA73E1"/>
    <w:rsid w:val="00BB1D5D"/>
    <w:rsid w:val="00BB28C7"/>
    <w:rsid w:val="00BB3670"/>
    <w:rsid w:val="00BB408A"/>
    <w:rsid w:val="00BB4394"/>
    <w:rsid w:val="00BB49B8"/>
    <w:rsid w:val="00BB509B"/>
    <w:rsid w:val="00BB6CA8"/>
    <w:rsid w:val="00BB7DBF"/>
    <w:rsid w:val="00BC3874"/>
    <w:rsid w:val="00BC5F94"/>
    <w:rsid w:val="00BC625C"/>
    <w:rsid w:val="00BC62F2"/>
    <w:rsid w:val="00BD5C8D"/>
    <w:rsid w:val="00BE218E"/>
    <w:rsid w:val="00BE3782"/>
    <w:rsid w:val="00BE7418"/>
    <w:rsid w:val="00BF2EB3"/>
    <w:rsid w:val="00BF335C"/>
    <w:rsid w:val="00BF42EA"/>
    <w:rsid w:val="00BF48CE"/>
    <w:rsid w:val="00BF5846"/>
    <w:rsid w:val="00BF6202"/>
    <w:rsid w:val="00C0043F"/>
    <w:rsid w:val="00C0067B"/>
    <w:rsid w:val="00C00CAB"/>
    <w:rsid w:val="00C0684E"/>
    <w:rsid w:val="00C0695B"/>
    <w:rsid w:val="00C07F7D"/>
    <w:rsid w:val="00C12B3C"/>
    <w:rsid w:val="00C14555"/>
    <w:rsid w:val="00C15344"/>
    <w:rsid w:val="00C17196"/>
    <w:rsid w:val="00C17CE1"/>
    <w:rsid w:val="00C20F8E"/>
    <w:rsid w:val="00C2717D"/>
    <w:rsid w:val="00C275E8"/>
    <w:rsid w:val="00C31894"/>
    <w:rsid w:val="00C338B1"/>
    <w:rsid w:val="00C355D0"/>
    <w:rsid w:val="00C37106"/>
    <w:rsid w:val="00C37E77"/>
    <w:rsid w:val="00C431CE"/>
    <w:rsid w:val="00C44026"/>
    <w:rsid w:val="00C46CA3"/>
    <w:rsid w:val="00C470D6"/>
    <w:rsid w:val="00C507C9"/>
    <w:rsid w:val="00C50F4F"/>
    <w:rsid w:val="00C521B4"/>
    <w:rsid w:val="00C52F1E"/>
    <w:rsid w:val="00C55F3B"/>
    <w:rsid w:val="00C562DF"/>
    <w:rsid w:val="00C62F22"/>
    <w:rsid w:val="00C6303C"/>
    <w:rsid w:val="00C63085"/>
    <w:rsid w:val="00C64954"/>
    <w:rsid w:val="00C6525F"/>
    <w:rsid w:val="00C65C30"/>
    <w:rsid w:val="00C67414"/>
    <w:rsid w:val="00C73C29"/>
    <w:rsid w:val="00C74AE7"/>
    <w:rsid w:val="00C7758B"/>
    <w:rsid w:val="00C77628"/>
    <w:rsid w:val="00C818DB"/>
    <w:rsid w:val="00C82444"/>
    <w:rsid w:val="00C82819"/>
    <w:rsid w:val="00C83AC4"/>
    <w:rsid w:val="00C873DE"/>
    <w:rsid w:val="00C9188D"/>
    <w:rsid w:val="00C94923"/>
    <w:rsid w:val="00C95830"/>
    <w:rsid w:val="00C97976"/>
    <w:rsid w:val="00CA4253"/>
    <w:rsid w:val="00CA63C0"/>
    <w:rsid w:val="00CA7145"/>
    <w:rsid w:val="00CA72F0"/>
    <w:rsid w:val="00CB12EC"/>
    <w:rsid w:val="00CB1C44"/>
    <w:rsid w:val="00CB5CA7"/>
    <w:rsid w:val="00CB74A2"/>
    <w:rsid w:val="00CB7BB7"/>
    <w:rsid w:val="00CC013C"/>
    <w:rsid w:val="00CC0258"/>
    <w:rsid w:val="00CC0CF3"/>
    <w:rsid w:val="00CC2C70"/>
    <w:rsid w:val="00CC487F"/>
    <w:rsid w:val="00CC5DA5"/>
    <w:rsid w:val="00CC6A77"/>
    <w:rsid w:val="00CC7B33"/>
    <w:rsid w:val="00CC7B47"/>
    <w:rsid w:val="00CD068C"/>
    <w:rsid w:val="00CD19C8"/>
    <w:rsid w:val="00CD21B0"/>
    <w:rsid w:val="00CD4ABA"/>
    <w:rsid w:val="00CD558B"/>
    <w:rsid w:val="00CD75FB"/>
    <w:rsid w:val="00CD79DF"/>
    <w:rsid w:val="00CE01F7"/>
    <w:rsid w:val="00CE029F"/>
    <w:rsid w:val="00CE1682"/>
    <w:rsid w:val="00CE31BE"/>
    <w:rsid w:val="00CE6DBA"/>
    <w:rsid w:val="00CE7053"/>
    <w:rsid w:val="00CE7149"/>
    <w:rsid w:val="00CF0CB4"/>
    <w:rsid w:val="00CF313A"/>
    <w:rsid w:val="00CF3187"/>
    <w:rsid w:val="00CF370F"/>
    <w:rsid w:val="00CF379D"/>
    <w:rsid w:val="00CF5B06"/>
    <w:rsid w:val="00CF64B8"/>
    <w:rsid w:val="00D00982"/>
    <w:rsid w:val="00D039A5"/>
    <w:rsid w:val="00D052C8"/>
    <w:rsid w:val="00D068D0"/>
    <w:rsid w:val="00D16BC9"/>
    <w:rsid w:val="00D17080"/>
    <w:rsid w:val="00D225AD"/>
    <w:rsid w:val="00D231E8"/>
    <w:rsid w:val="00D33B98"/>
    <w:rsid w:val="00D348F1"/>
    <w:rsid w:val="00D35503"/>
    <w:rsid w:val="00D37357"/>
    <w:rsid w:val="00D41537"/>
    <w:rsid w:val="00D41BA5"/>
    <w:rsid w:val="00D431B1"/>
    <w:rsid w:val="00D4329A"/>
    <w:rsid w:val="00D435A7"/>
    <w:rsid w:val="00D44091"/>
    <w:rsid w:val="00D44ED1"/>
    <w:rsid w:val="00D45843"/>
    <w:rsid w:val="00D4763D"/>
    <w:rsid w:val="00D47BBE"/>
    <w:rsid w:val="00D501F1"/>
    <w:rsid w:val="00D50525"/>
    <w:rsid w:val="00D5289A"/>
    <w:rsid w:val="00D566A6"/>
    <w:rsid w:val="00D57505"/>
    <w:rsid w:val="00D57C3C"/>
    <w:rsid w:val="00D61E4A"/>
    <w:rsid w:val="00D62764"/>
    <w:rsid w:val="00D66CDF"/>
    <w:rsid w:val="00D67674"/>
    <w:rsid w:val="00D712DF"/>
    <w:rsid w:val="00D7154F"/>
    <w:rsid w:val="00D72BE3"/>
    <w:rsid w:val="00D74159"/>
    <w:rsid w:val="00D74DB4"/>
    <w:rsid w:val="00D754A8"/>
    <w:rsid w:val="00D76A11"/>
    <w:rsid w:val="00D77327"/>
    <w:rsid w:val="00D800DF"/>
    <w:rsid w:val="00D803DA"/>
    <w:rsid w:val="00D8351B"/>
    <w:rsid w:val="00D83763"/>
    <w:rsid w:val="00D837FD"/>
    <w:rsid w:val="00D83A44"/>
    <w:rsid w:val="00D86CFF"/>
    <w:rsid w:val="00D874EF"/>
    <w:rsid w:val="00D87BB8"/>
    <w:rsid w:val="00D90CC6"/>
    <w:rsid w:val="00D92343"/>
    <w:rsid w:val="00D94BCC"/>
    <w:rsid w:val="00D95010"/>
    <w:rsid w:val="00D950E1"/>
    <w:rsid w:val="00D9726C"/>
    <w:rsid w:val="00D97B7A"/>
    <w:rsid w:val="00D97D55"/>
    <w:rsid w:val="00DA0A9D"/>
    <w:rsid w:val="00DA1E7F"/>
    <w:rsid w:val="00DA2DC4"/>
    <w:rsid w:val="00DA6C35"/>
    <w:rsid w:val="00DB1A74"/>
    <w:rsid w:val="00DB1BA6"/>
    <w:rsid w:val="00DB34B6"/>
    <w:rsid w:val="00DB3506"/>
    <w:rsid w:val="00DB7D8C"/>
    <w:rsid w:val="00DC0E5B"/>
    <w:rsid w:val="00DC23F1"/>
    <w:rsid w:val="00DC4EDE"/>
    <w:rsid w:val="00DC5F66"/>
    <w:rsid w:val="00DC7FBE"/>
    <w:rsid w:val="00DD2412"/>
    <w:rsid w:val="00DD27F5"/>
    <w:rsid w:val="00DD2FC0"/>
    <w:rsid w:val="00DD3564"/>
    <w:rsid w:val="00DD408A"/>
    <w:rsid w:val="00DD5B4D"/>
    <w:rsid w:val="00DD6081"/>
    <w:rsid w:val="00DD6985"/>
    <w:rsid w:val="00DD7A52"/>
    <w:rsid w:val="00DE071F"/>
    <w:rsid w:val="00DE1642"/>
    <w:rsid w:val="00DE2DB4"/>
    <w:rsid w:val="00DE7CCD"/>
    <w:rsid w:val="00DF2782"/>
    <w:rsid w:val="00DF511D"/>
    <w:rsid w:val="00DF74B5"/>
    <w:rsid w:val="00DF7A85"/>
    <w:rsid w:val="00E00ABE"/>
    <w:rsid w:val="00E046C2"/>
    <w:rsid w:val="00E11DC5"/>
    <w:rsid w:val="00E14A7B"/>
    <w:rsid w:val="00E207F2"/>
    <w:rsid w:val="00E23B05"/>
    <w:rsid w:val="00E24255"/>
    <w:rsid w:val="00E2465C"/>
    <w:rsid w:val="00E24C17"/>
    <w:rsid w:val="00E27936"/>
    <w:rsid w:val="00E30B22"/>
    <w:rsid w:val="00E30DB8"/>
    <w:rsid w:val="00E30FC6"/>
    <w:rsid w:val="00E323DC"/>
    <w:rsid w:val="00E33E34"/>
    <w:rsid w:val="00E41506"/>
    <w:rsid w:val="00E426E7"/>
    <w:rsid w:val="00E43C1D"/>
    <w:rsid w:val="00E45638"/>
    <w:rsid w:val="00E462BD"/>
    <w:rsid w:val="00E50218"/>
    <w:rsid w:val="00E52497"/>
    <w:rsid w:val="00E52873"/>
    <w:rsid w:val="00E552DB"/>
    <w:rsid w:val="00E569A8"/>
    <w:rsid w:val="00E57B3F"/>
    <w:rsid w:val="00E57DFB"/>
    <w:rsid w:val="00E665F4"/>
    <w:rsid w:val="00E71262"/>
    <w:rsid w:val="00E720BE"/>
    <w:rsid w:val="00E7232D"/>
    <w:rsid w:val="00E72C50"/>
    <w:rsid w:val="00E74029"/>
    <w:rsid w:val="00E75443"/>
    <w:rsid w:val="00E815B5"/>
    <w:rsid w:val="00E82AF0"/>
    <w:rsid w:val="00E832CD"/>
    <w:rsid w:val="00E845E7"/>
    <w:rsid w:val="00E84930"/>
    <w:rsid w:val="00E86420"/>
    <w:rsid w:val="00E92B47"/>
    <w:rsid w:val="00E9305B"/>
    <w:rsid w:val="00E93C77"/>
    <w:rsid w:val="00E93DAB"/>
    <w:rsid w:val="00E955E3"/>
    <w:rsid w:val="00E95CDD"/>
    <w:rsid w:val="00EA026D"/>
    <w:rsid w:val="00EA3CFD"/>
    <w:rsid w:val="00EA7A21"/>
    <w:rsid w:val="00EB1671"/>
    <w:rsid w:val="00EB1FD7"/>
    <w:rsid w:val="00EB58A2"/>
    <w:rsid w:val="00EB7BAE"/>
    <w:rsid w:val="00EC067B"/>
    <w:rsid w:val="00EC0DE0"/>
    <w:rsid w:val="00EC1E2C"/>
    <w:rsid w:val="00EC353B"/>
    <w:rsid w:val="00EC3A34"/>
    <w:rsid w:val="00EC5296"/>
    <w:rsid w:val="00ED2D97"/>
    <w:rsid w:val="00ED4650"/>
    <w:rsid w:val="00ED5007"/>
    <w:rsid w:val="00ED66A6"/>
    <w:rsid w:val="00ED76C0"/>
    <w:rsid w:val="00EE37B9"/>
    <w:rsid w:val="00EE471C"/>
    <w:rsid w:val="00EE51DF"/>
    <w:rsid w:val="00EE5C24"/>
    <w:rsid w:val="00EE7C56"/>
    <w:rsid w:val="00EF3A9E"/>
    <w:rsid w:val="00EF4025"/>
    <w:rsid w:val="00EF5A47"/>
    <w:rsid w:val="00EF5AF8"/>
    <w:rsid w:val="00EF62AF"/>
    <w:rsid w:val="00EF6B29"/>
    <w:rsid w:val="00EF7381"/>
    <w:rsid w:val="00EF7623"/>
    <w:rsid w:val="00EF7A9B"/>
    <w:rsid w:val="00F00105"/>
    <w:rsid w:val="00F014A8"/>
    <w:rsid w:val="00F047AC"/>
    <w:rsid w:val="00F067FB"/>
    <w:rsid w:val="00F0709E"/>
    <w:rsid w:val="00F079E1"/>
    <w:rsid w:val="00F107AD"/>
    <w:rsid w:val="00F11434"/>
    <w:rsid w:val="00F11D23"/>
    <w:rsid w:val="00F126DC"/>
    <w:rsid w:val="00F13761"/>
    <w:rsid w:val="00F151A2"/>
    <w:rsid w:val="00F15745"/>
    <w:rsid w:val="00F16019"/>
    <w:rsid w:val="00F202B6"/>
    <w:rsid w:val="00F23B47"/>
    <w:rsid w:val="00F2455E"/>
    <w:rsid w:val="00F24CC7"/>
    <w:rsid w:val="00F30440"/>
    <w:rsid w:val="00F35222"/>
    <w:rsid w:val="00F43F4D"/>
    <w:rsid w:val="00F463FE"/>
    <w:rsid w:val="00F470FD"/>
    <w:rsid w:val="00F50D9F"/>
    <w:rsid w:val="00F510BD"/>
    <w:rsid w:val="00F515E1"/>
    <w:rsid w:val="00F51EDC"/>
    <w:rsid w:val="00F52888"/>
    <w:rsid w:val="00F55AF0"/>
    <w:rsid w:val="00F647D1"/>
    <w:rsid w:val="00F672AC"/>
    <w:rsid w:val="00F71207"/>
    <w:rsid w:val="00F72E81"/>
    <w:rsid w:val="00F75040"/>
    <w:rsid w:val="00F7562C"/>
    <w:rsid w:val="00F75AE0"/>
    <w:rsid w:val="00F77CE9"/>
    <w:rsid w:val="00F81CFC"/>
    <w:rsid w:val="00F81E3F"/>
    <w:rsid w:val="00F839E3"/>
    <w:rsid w:val="00F909F4"/>
    <w:rsid w:val="00F94258"/>
    <w:rsid w:val="00F969C3"/>
    <w:rsid w:val="00F971E9"/>
    <w:rsid w:val="00FA0CD3"/>
    <w:rsid w:val="00FA0D84"/>
    <w:rsid w:val="00FA0FC1"/>
    <w:rsid w:val="00FA1FA9"/>
    <w:rsid w:val="00FA2B02"/>
    <w:rsid w:val="00FA5E15"/>
    <w:rsid w:val="00FA5F86"/>
    <w:rsid w:val="00FA793F"/>
    <w:rsid w:val="00FB292A"/>
    <w:rsid w:val="00FB3BE5"/>
    <w:rsid w:val="00FC2679"/>
    <w:rsid w:val="00FC3193"/>
    <w:rsid w:val="00FC77E5"/>
    <w:rsid w:val="00FC7973"/>
    <w:rsid w:val="00FD162C"/>
    <w:rsid w:val="00FD6926"/>
    <w:rsid w:val="00FD70CC"/>
    <w:rsid w:val="00FF0CCC"/>
    <w:rsid w:val="00FF1510"/>
    <w:rsid w:val="00FF2AE1"/>
    <w:rsid w:val="00FF3118"/>
    <w:rsid w:val="00FF3FC0"/>
    <w:rsid w:val="00FF428E"/>
    <w:rsid w:val="00FF5B9A"/>
    <w:rsid w:val="00FF5BAD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F5A6"/>
  <w15:docId w15:val="{DF687C02-C65A-49BB-861C-30AF67D0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07"/>
    <w:pPr>
      <w:widowControl w:val="0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widowControl/>
      <w:outlineLvl w:val="0"/>
    </w:pPr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9"/>
    <w:qFormat/>
    <w:rsid w:val="00DD27F5"/>
    <w:pPr>
      <w:widowControl/>
      <w:outlineLvl w:val="1"/>
    </w:pPr>
    <w:rPr>
      <w:rFonts w:ascii="Arial" w:hAnsi="Arial" w:cs="Arial"/>
      <w:b/>
      <w:bCs/>
      <w:color w:val="626262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27F5"/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DD27F5"/>
    <w:rPr>
      <w:rFonts w:ascii="Arial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DD27F5"/>
    <w:pPr>
      <w:ind w:left="720"/>
      <w:contextualSpacing/>
    </w:pPr>
  </w:style>
  <w:style w:type="character" w:customStyle="1" w:styleId="a4">
    <w:name w:val="Основной текст_"/>
    <w:link w:val="3"/>
    <w:locked/>
    <w:rsid w:val="006E480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6E4803"/>
    <w:pPr>
      <w:shd w:val="clear" w:color="auto" w:fill="FFFFFF"/>
      <w:spacing w:line="0" w:lineRule="atLeast"/>
      <w:ind w:hanging="1840"/>
    </w:pPr>
    <w:rPr>
      <w:rFonts w:eastAsia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6E4803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6F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575856"/>
    <w:pPr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6B33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35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33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335C"/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E50218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562AE"/>
    <w:rPr>
      <w:color w:val="0000FF" w:themeColor="hyperlink"/>
      <w:u w:val="single"/>
    </w:rPr>
  </w:style>
  <w:style w:type="paragraph" w:customStyle="1" w:styleId="ConsPlusNormal">
    <w:name w:val="ConsPlusNormal"/>
    <w:rsid w:val="00085E1D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styleId="ad">
    <w:name w:val="No Spacing"/>
    <w:qFormat/>
    <w:rsid w:val="00292428"/>
    <w:pPr>
      <w:widowControl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874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74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74EF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f0">
    <w:name w:val="Базовый"/>
    <w:rsid w:val="008731C5"/>
    <w:pPr>
      <w:widowControl w:val="0"/>
      <w:tabs>
        <w:tab w:val="left" w:pos="720"/>
      </w:tabs>
      <w:suppressAutoHyphens/>
      <w:spacing w:after="200" w:line="276" w:lineRule="auto"/>
    </w:pPr>
    <w:rPr>
      <w:rFonts w:ascii="OEKGHE+OfficinaSerifWinC" w:eastAsia="Arial" w:hAnsi="OEKGHE+OfficinaSerifWinC" w:cs="OEKGHE+OfficinaSerifWinC"/>
      <w:color w:val="000000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300913"/>
    <w:pPr>
      <w:suppressLineNumbers/>
      <w:suppressAutoHyphens/>
    </w:pPr>
    <w:rPr>
      <w:rFonts w:eastAsia="Andale Sans UI"/>
      <w:kern w:val="1"/>
    </w:rPr>
  </w:style>
  <w:style w:type="paragraph" w:customStyle="1" w:styleId="12">
    <w:name w:val="Абзац списка1"/>
    <w:basedOn w:val="a"/>
    <w:qFormat/>
    <w:rsid w:val="00774ADC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774ADC"/>
    <w:pPr>
      <w:widowControl/>
      <w:spacing w:line="360" w:lineRule="auto"/>
      <w:ind w:firstLine="720"/>
      <w:jc w:val="both"/>
    </w:pPr>
    <w:rPr>
      <w:szCs w:val="20"/>
      <w:lang w:eastAsia="ru-RU"/>
    </w:rPr>
  </w:style>
  <w:style w:type="paragraph" w:styleId="af2">
    <w:name w:val="Body Text"/>
    <w:aliases w:val="bt,Основной текст1"/>
    <w:basedOn w:val="a"/>
    <w:link w:val="af3"/>
    <w:rsid w:val="00774ADC"/>
    <w:pPr>
      <w:widowControl/>
      <w:spacing w:after="120"/>
    </w:pPr>
    <w:rPr>
      <w:lang w:eastAsia="ru-RU"/>
    </w:rPr>
  </w:style>
  <w:style w:type="character" w:customStyle="1" w:styleId="af3">
    <w:name w:val="Основной текст Знак"/>
    <w:aliases w:val="bt Знак,Основной текст1 Знак"/>
    <w:basedOn w:val="a0"/>
    <w:link w:val="af2"/>
    <w:rsid w:val="00774ADC"/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774ADC"/>
    <w:pPr>
      <w:widowControl/>
      <w:spacing w:after="120" w:line="480" w:lineRule="auto"/>
      <w:ind w:left="283"/>
    </w:pPr>
    <w:rPr>
      <w:rFonts w:eastAsia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74ADC"/>
    <w:rPr>
      <w:rFonts w:eastAsia="Times New Roman"/>
      <w:sz w:val="28"/>
      <w:szCs w:val="28"/>
      <w:lang w:eastAsia="ru-RU"/>
    </w:rPr>
  </w:style>
  <w:style w:type="paragraph" w:customStyle="1" w:styleId="af4">
    <w:name w:val="График"/>
    <w:next w:val="a"/>
    <w:rsid w:val="00774ADC"/>
    <w:pPr>
      <w:keepNext/>
      <w:autoSpaceDE w:val="0"/>
      <w:autoSpaceDN w:val="0"/>
      <w:spacing w:after="240"/>
      <w:jc w:val="center"/>
    </w:pPr>
    <w:rPr>
      <w:rFonts w:ascii="Arial" w:eastAsia="Times New Roman" w:hAnsi="Arial" w:cs="Arial"/>
      <w:b/>
      <w:bCs/>
      <w:noProof/>
      <w:sz w:val="22"/>
      <w:szCs w:val="22"/>
      <w:lang w:val="en-US" w:eastAsia="ru-RU"/>
    </w:rPr>
  </w:style>
  <w:style w:type="paragraph" w:customStyle="1" w:styleId="ConsNormal">
    <w:name w:val="ConsNormal"/>
    <w:rsid w:val="00774A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30">
    <w:name w:val="Body Text Indent 3"/>
    <w:basedOn w:val="a"/>
    <w:link w:val="31"/>
    <w:rsid w:val="00774ADC"/>
    <w:pPr>
      <w:widowControl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774ADC"/>
    <w:rPr>
      <w:rFonts w:eastAsia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774ADC"/>
    <w:pPr>
      <w:widowControl/>
      <w:overflowPunct w:val="0"/>
      <w:autoSpaceDE w:val="0"/>
      <w:autoSpaceDN w:val="0"/>
      <w:adjustRightInd w:val="0"/>
      <w:ind w:firstLine="454"/>
      <w:jc w:val="both"/>
      <w:textAlignment w:val="baseline"/>
    </w:pPr>
    <w:rPr>
      <w:rFonts w:eastAsia="Times New Roman"/>
      <w:sz w:val="26"/>
      <w:szCs w:val="26"/>
      <w:lang w:eastAsia="ru-RU"/>
    </w:rPr>
  </w:style>
  <w:style w:type="paragraph" w:customStyle="1" w:styleId="24">
    <w:name w:val="Абзац списка2"/>
    <w:basedOn w:val="a"/>
    <w:rsid w:val="0026645F"/>
    <w:pPr>
      <w:ind w:left="720"/>
    </w:pPr>
    <w:rPr>
      <w:rFonts w:eastAsia="Times New Roman"/>
    </w:rPr>
  </w:style>
  <w:style w:type="paragraph" w:customStyle="1" w:styleId="af5">
    <w:name w:val="Знак Знак Знак Знак"/>
    <w:basedOn w:val="a"/>
    <w:rsid w:val="0022137A"/>
    <w:pPr>
      <w:widowControl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6">
    <w:name w:val="FollowedHyperlink"/>
    <w:basedOn w:val="a0"/>
    <w:uiPriority w:val="99"/>
    <w:semiHidden/>
    <w:unhideWhenUsed/>
    <w:rsid w:val="0083456D"/>
    <w:rPr>
      <w:color w:val="800080"/>
      <w:u w:val="single"/>
    </w:rPr>
  </w:style>
  <w:style w:type="paragraph" w:customStyle="1" w:styleId="xl71">
    <w:name w:val="xl71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4">
    <w:name w:val="xl7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5">
    <w:name w:val="xl75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83456D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8">
    <w:name w:val="xl7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45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83456D"/>
    <w:pPr>
      <w:widowControl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3456D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83456D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8345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000000"/>
      <w:sz w:val="20"/>
      <w:szCs w:val="20"/>
      <w:lang w:eastAsia="ru-RU"/>
    </w:rPr>
  </w:style>
  <w:style w:type="table" w:customStyle="1" w:styleId="25">
    <w:name w:val="Сетка таблицы2"/>
    <w:basedOn w:val="a1"/>
    <w:next w:val="a6"/>
    <w:rsid w:val="000762B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36674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5825B0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16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8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Суммарные значения динамики затрат </a:t>
            </a:r>
            <a:br>
              <a:rPr lang="ru-RU"/>
            </a:br>
            <a:r>
              <a:rPr lang="ru-RU"/>
              <a:t>и экономии по отрасли за 2021-2023 годы  (передача электроэнергии)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4.0973799109501961E-2"/>
                  <c:y val="-2.2415327076856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42-43EC-8450-C6AD9B10B6D7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42-43EC-8450-C6AD9B10B6D7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42-43EC-8450-C6AD9B10B6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итоги!$C$2:$E$2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итоги!$C$14:$E$14</c:f>
              <c:numCache>
                <c:formatCode>#,##0</c:formatCode>
                <c:ptCount val="3"/>
                <c:pt idx="0">
                  <c:v>321749.58444444445</c:v>
                </c:pt>
                <c:pt idx="1">
                  <c:v>230441.54</c:v>
                </c:pt>
                <c:pt idx="2">
                  <c:v>272473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42-43EC-8450-C6AD9B10B6D7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42-43EC-8450-C6AD9B10B6D7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42-43EC-8450-C6AD9B10B6D7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42-43EC-8450-C6AD9B10B6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итоги!$H$14:$J$14</c:f>
              <c:numCache>
                <c:formatCode>#,##0</c:formatCode>
                <c:ptCount val="3"/>
                <c:pt idx="0">
                  <c:v>52977.545349651533</c:v>
                </c:pt>
                <c:pt idx="1">
                  <c:v>29839.74</c:v>
                </c:pt>
                <c:pt idx="2">
                  <c:v>34693.1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42-43EC-8450-C6AD9B10B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271316096"/>
        <c:axId val="271318016"/>
        <c:axId val="0"/>
      </c:bar3DChart>
      <c:catAx>
        <c:axId val="271316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1318016"/>
        <c:crosses val="autoZero"/>
        <c:auto val="1"/>
        <c:lblAlgn val="ctr"/>
        <c:lblOffset val="100"/>
        <c:noMultiLvlLbl val="0"/>
      </c:catAx>
      <c:valAx>
        <c:axId val="27131801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руб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6.94285665702222E-2"/>
              <c:y val="0.15706344469707489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71316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Суммарные значения динамики затрат </a:t>
            </a:r>
            <a:br>
              <a:rPr lang="ru-RU"/>
            </a:br>
            <a:r>
              <a:rPr lang="ru-RU"/>
              <a:t>и экономии по отрасли за 2021-2023 годы    (водоснабжение,</a:t>
            </a:r>
            <a:r>
              <a:rPr lang="ru-RU" baseline="0"/>
              <a:t> водоотведение)</a:t>
            </a:r>
            <a:endParaRPr lang="ru-RU"/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3.0416965674447904E-2"/>
                  <c:y val="-2.4669597061995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C7-4F6B-9CA9-261FDD236F5C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C7-4F6B-9CA9-261FDD236F5C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C7-4F6B-9CA9-261FDD236F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итоги!$C$30:$E$30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итоги!$C$40:$E$40</c:f>
              <c:numCache>
                <c:formatCode>#,##0</c:formatCode>
                <c:ptCount val="3"/>
                <c:pt idx="0">
                  <c:v>12885.424999999999</c:v>
                </c:pt>
                <c:pt idx="1">
                  <c:v>14584.03</c:v>
                </c:pt>
                <c:pt idx="2">
                  <c:v>16525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C7-4F6B-9CA9-261FDD236F5C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C7-4F6B-9CA9-261FDD236F5C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C7-4F6B-9CA9-261FDD236F5C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C7-4F6B-9CA9-261FDD236F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итоги!$H$40:$J$40</c:f>
              <c:numCache>
                <c:formatCode>#,##0</c:formatCode>
                <c:ptCount val="3"/>
                <c:pt idx="0">
                  <c:v>3779.0324999999998</c:v>
                </c:pt>
                <c:pt idx="1">
                  <c:v>16395</c:v>
                </c:pt>
                <c:pt idx="2">
                  <c:v>12746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FC7-4F6B-9CA9-261FDD236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51377792"/>
        <c:axId val="151379328"/>
        <c:axId val="0"/>
      </c:bar3DChart>
      <c:catAx>
        <c:axId val="151377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379328"/>
        <c:crosses val="autoZero"/>
        <c:auto val="1"/>
        <c:lblAlgn val="ctr"/>
        <c:lblOffset val="100"/>
        <c:noMultiLvlLbl val="0"/>
      </c:catAx>
      <c:valAx>
        <c:axId val="15137932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тыс. руб.</a:t>
                </a:r>
              </a:p>
            </c:rich>
          </c:tx>
          <c:layout>
            <c:manualLayout>
              <c:xMode val="edge"/>
              <c:yMode val="edge"/>
              <c:x val="5.7115140455184552E-2"/>
              <c:y val="0.15281728704366498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51377792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Суммарные значения динамики затрат </a:t>
            </a:r>
            <a:br>
              <a:rPr lang="ru-RU"/>
            </a:br>
            <a:r>
              <a:rPr lang="ru-RU"/>
              <a:t>и экономии по отрасли за 2021-2023 годы           (теплоснабжение)</a:t>
            </a:r>
          </a:p>
        </c:rich>
      </c:tx>
      <c:layout>
        <c:manualLayout>
          <c:xMode val="edge"/>
          <c:yMode val="edge"/>
          <c:x val="0.18329685708997509"/>
          <c:y val="9.1805123783158232E-3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7471250458559071"/>
          <c:w val="0.84486359293671398"/>
          <c:h val="0.75326202092173633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3.6602773709828777E-2"/>
                  <c:y val="-2.424966241891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3F-4D08-9A6E-86DF2D55CE92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3F-4D08-9A6E-86DF2D55CE92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3F-4D08-9A6E-86DF2D55CE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итоги!$C$17:$E$17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итоги!$C$27:$E$27</c:f>
              <c:numCache>
                <c:formatCode>#,##0</c:formatCode>
                <c:ptCount val="3"/>
                <c:pt idx="0">
                  <c:v>26591.439999999999</c:v>
                </c:pt>
                <c:pt idx="1">
                  <c:v>25024.04</c:v>
                </c:pt>
                <c:pt idx="2">
                  <c:v>69814.657000000007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3F-4D08-9A6E-86DF2D55CE92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3F-4D08-9A6E-86DF2D55CE92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3F-4D08-9A6E-86DF2D55CE92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3F-4D08-9A6E-86DF2D55CE9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итоги!$H$27:$J$27</c:f>
              <c:numCache>
                <c:formatCode>#,##0</c:formatCode>
                <c:ptCount val="3"/>
                <c:pt idx="0">
                  <c:v>1459.6899999999998</c:v>
                </c:pt>
                <c:pt idx="1">
                  <c:v>3504.77</c:v>
                </c:pt>
                <c:pt idx="2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43F-4D08-9A6E-86DF2D55CE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51484288"/>
        <c:axId val="151485824"/>
        <c:axId val="0"/>
      </c:bar3DChart>
      <c:catAx>
        <c:axId val="15148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485824"/>
        <c:crosses val="autoZero"/>
        <c:auto val="1"/>
        <c:lblAlgn val="ctr"/>
        <c:lblOffset val="100"/>
        <c:noMultiLvlLbl val="0"/>
      </c:catAx>
      <c:valAx>
        <c:axId val="15148582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руб.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6.8180268408867303E-2"/>
              <c:y val="0.15012782387663962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51484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объёма финансирования  мероприятий по энергосбережению за 2023 год в разрезе по видам регулируемой деятельности,  %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574485629775889E-2"/>
          <c:y val="0.13028021353248737"/>
          <c:w val="0.78205578893184646"/>
          <c:h val="0.6483642939127985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8919079066073988"/>
                  <c:y val="-0.1537853364060002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C3-4A3F-944E-483DB42F0F2A}"/>
                </c:ext>
              </c:extLst>
            </c:dLbl>
            <c:dLbl>
              <c:idx val="1"/>
              <c:layout>
                <c:manualLayout>
                  <c:x val="0.10777322261273084"/>
                  <c:y val="4.2862358823485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C3-4A3F-944E-483DB42F0F2A}"/>
                </c:ext>
              </c:extLst>
            </c:dLbl>
            <c:dLbl>
              <c:idx val="2"/>
              <c:layout>
                <c:manualLayout>
                  <c:x val="2.3396372394094391E-2"/>
                  <c:y val="5.9188088593970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C3-4A3F-944E-483DB42F0F2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итоги!$B$44:$B$46</c:f>
              <c:strCache>
                <c:ptCount val="3"/>
                <c:pt idx="0">
                  <c:v>Передача электрической энергии</c:v>
                </c:pt>
                <c:pt idx="1">
                  <c:v>Производство, передача тепловой энергии, ГВС</c:v>
                </c:pt>
                <c:pt idx="2">
                  <c:v>Водоснабжение (ХВС) и Водоотведение (ВО)</c:v>
                </c:pt>
              </c:strCache>
            </c:strRef>
          </c:cat>
          <c:val>
            <c:numRef>
              <c:f>итоги!$E$44:$E$46</c:f>
              <c:numCache>
                <c:formatCode>#,##0</c:formatCode>
                <c:ptCount val="3"/>
                <c:pt idx="0">
                  <c:v>272473</c:v>
                </c:pt>
                <c:pt idx="1">
                  <c:v>69814.657000000007</c:v>
                </c:pt>
                <c:pt idx="2">
                  <c:v>16525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C3-4A3F-944E-483DB42F0F2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1918103798183548"/>
          <c:y val="0.70414198831023134"/>
          <c:w val="0.6036200777366113"/>
          <c:h val="0.20212071321673483"/>
        </c:manualLayout>
      </c:layout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strRef>
          <c:f>итоги!$S$23</c:f>
          <c:strCache>
            <c:ptCount val="1"/>
            <c:pt idx="0">
              <c:v>Суммарные значения динамики затрат и экономии по всем видам регулируемой деятельности за 2021-2023 годы</c:v>
            </c:pt>
          </c:strCache>
        </c:strRef>
      </c:tx>
      <c:layout>
        <c:manualLayout>
          <c:xMode val="edge"/>
          <c:yMode val="edge"/>
          <c:x val="0.16887072405452608"/>
          <c:y val="1.5980823012385136E-2"/>
        </c:manualLayout>
      </c:layout>
      <c:overlay val="0"/>
      <c:txPr>
        <a:bodyPr/>
        <a:lstStyle/>
        <a:p>
          <a:pPr>
            <a:defRPr/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36639466429409"/>
          <c:y val="0.1884856958306804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3.4542728246194712E-2"/>
                  <c:y val="-2.0125834350029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B12-491B-8BA4-AAD3A4173C13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12-491B-8BA4-AAD3A4173C13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12-491B-8BA4-AAD3A4173C1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итоги!$C$43:$E$43</c:f>
              <c:strCache>
                <c:ptCount val="3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</c:strCache>
            </c:strRef>
          </c:cat>
          <c:val>
            <c:numRef>
              <c:f>итоги!$C$47:$E$47</c:f>
              <c:numCache>
                <c:formatCode>#,##0</c:formatCode>
                <c:ptCount val="3"/>
                <c:pt idx="0">
                  <c:v>361226.44944444444</c:v>
                </c:pt>
                <c:pt idx="1">
                  <c:v>270049.61000000004</c:v>
                </c:pt>
                <c:pt idx="2">
                  <c:v>358812.65700000001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12-491B-8BA4-AAD3A4173C13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12-491B-8BA4-AAD3A4173C13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12-491B-8BA4-AAD3A4173C13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12-491B-8BA4-AAD3A4173C1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итоги!$H$47:$J$47</c:f>
              <c:numCache>
                <c:formatCode>#,##0</c:formatCode>
                <c:ptCount val="3"/>
                <c:pt idx="0">
                  <c:v>58216.267849651536</c:v>
                </c:pt>
                <c:pt idx="1">
                  <c:v>49739.51</c:v>
                </c:pt>
                <c:pt idx="2">
                  <c:v>47689.1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B12-491B-8BA4-AAD3A4173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51630592"/>
        <c:axId val="151632128"/>
        <c:axId val="0"/>
      </c:bar3DChart>
      <c:catAx>
        <c:axId val="15163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632128"/>
        <c:crosses val="autoZero"/>
        <c:auto val="1"/>
        <c:lblAlgn val="ctr"/>
        <c:lblOffset val="100"/>
        <c:noMultiLvlLbl val="0"/>
      </c:catAx>
      <c:valAx>
        <c:axId val="15163212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тыс.</a:t>
                </a:r>
                <a:r>
                  <a:rPr lang="ru-RU" baseline="0"/>
                  <a:t> руб.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5.4290612833359848E-2"/>
              <c:y val="0.15823091030920378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151630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CE05-0F85-4A5A-91B1-F040B126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26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46375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Лена 1</cp:lastModifiedBy>
  <cp:revision>118</cp:revision>
  <cp:lastPrinted>2024-07-02T11:21:00Z</cp:lastPrinted>
  <dcterms:created xsi:type="dcterms:W3CDTF">2023-06-26T07:24:00Z</dcterms:created>
  <dcterms:modified xsi:type="dcterms:W3CDTF">2024-07-18T07:54:00Z</dcterms:modified>
</cp:coreProperties>
</file>