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ORMATTEXT"/>
        <w:tabs>
          <w:tab w:val="clear" w:pos="720"/>
          <w:tab w:val="left" w:pos="0" w:leader="none"/>
          <w:tab w:val="right" w:pos="9639" w:leader="none"/>
        </w:tabs>
        <w:spacing w:lineRule="auto" w:line="240" w:before="0" w:after="0"/>
        <w:jc w:val="right"/>
        <w:rPr/>
      </w:pPr>
      <w:r>
        <w:rPr>
          <w:rFonts w:ascii="PT Astra Serif" w:hAnsi="PT Astra Serif"/>
          <w:b/>
          <w:bCs/>
          <w:sz w:val="28"/>
          <w:szCs w:val="28"/>
        </w:rPr>
        <w:t>Проект</w:t>
      </w:r>
    </w:p>
    <w:p>
      <w:pPr>
        <w:pStyle w:val="FORMATTEXT"/>
        <w:tabs>
          <w:tab w:val="clear" w:pos="720"/>
          <w:tab w:val="left" w:pos="0" w:leader="none"/>
          <w:tab w:val="right" w:pos="9639" w:leader="none"/>
        </w:tabs>
        <w:spacing w:lineRule="auto" w:line="240" w:before="0" w:after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FORMATTEXT"/>
        <w:tabs>
          <w:tab w:val="clear" w:pos="720"/>
          <w:tab w:val="left" w:pos="0" w:leader="none"/>
          <w:tab w:val="right" w:pos="9639" w:leader="none"/>
        </w:tabs>
        <w:spacing w:lineRule="auto" w:line="240" w:before="0" w:after="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</w:r>
    </w:p>
    <w:p>
      <w:pPr>
        <w:pStyle w:val="FORMATTEXT"/>
        <w:tabs>
          <w:tab w:val="clear" w:pos="720"/>
          <w:tab w:val="left" w:pos="0" w:leader="none"/>
          <w:tab w:val="right" w:pos="9639" w:leader="none"/>
        </w:tabs>
        <w:spacing w:lineRule="auto" w:line="240" w:before="0" w:after="0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>
      <w:pPr>
        <w:pStyle w:val="FORMATTEXT"/>
        <w:spacing w:lineRule="auto" w:line="240" w:before="0" w:after="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FORMATTEXT"/>
        <w:spacing w:lineRule="auto" w:line="240" w:before="0"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>
      <w:pPr>
        <w:pStyle w:val="FORMATTEXT"/>
        <w:spacing w:lineRule="auto" w:line="240" w:before="0" w:after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35" w:before="0" w:after="0"/>
        <w:jc w:val="center"/>
        <w:rPr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 xml:space="preserve">О внесении изменений в </w:t>
      </w:r>
      <w:r>
        <w:rPr>
          <w:rFonts w:cs="PT Astra Serif" w:ascii="PT Astra Serif" w:hAnsi="PT Astra Serif"/>
          <w:b/>
          <w:sz w:val="28"/>
          <w:szCs w:val="28"/>
          <w:lang w:val="ru-RU"/>
        </w:rPr>
        <w:t>п</w:t>
      </w:r>
      <w:r>
        <w:rPr>
          <w:rFonts w:eastAsia="Calibri" w:cs="PT Astra Serif" w:ascii="PT Astra Serif" w:hAnsi="PT Astra Serif" w:eastAsiaTheme="minorHAnsi"/>
          <w:b/>
          <w:sz w:val="28"/>
          <w:szCs w:val="28"/>
          <w:lang w:val="ru-RU" w:eastAsia="en-US"/>
        </w:rPr>
        <w:t>остановление</w:t>
        <w:br/>
        <w:t xml:space="preserve">Правительства Ульяновской </w:t>
      </w:r>
      <w:r>
        <w:rPr>
          <w:rFonts w:eastAsia="Calibri" w:cs="PT Astra Serif" w:ascii="PT Astra Serif" w:hAnsi="PT Astra Serif" w:eastAsiaTheme="minorHAnsi"/>
          <w:b/>
          <w:bCs/>
          <w:sz w:val="28"/>
          <w:szCs w:val="28"/>
          <w:lang w:val="ru-RU" w:eastAsia="en-US"/>
        </w:rPr>
        <w:t xml:space="preserve">области от 07.08.2014 № 346-П </w:t>
      </w:r>
    </w:p>
    <w:p>
      <w:pPr>
        <w:pStyle w:val="Normal"/>
        <w:spacing w:lineRule="auto" w:line="235" w:before="0"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</w:r>
    </w:p>
    <w:p>
      <w:pPr>
        <w:pStyle w:val="Normal"/>
        <w:spacing w:lineRule="auto" w:line="235" w:before="0" w:after="0"/>
        <w:ind w:firstLine="709"/>
        <w:rPr>
          <w:rFonts w:ascii="PT Astra Serif" w:hAnsi="PT Astra Serif" w:eastAsia="Calibri" w:cs="PT Astra Serif" w:eastAsiaTheme="minorHAnsi"/>
          <w:b/>
          <w:b/>
          <w:sz w:val="28"/>
          <w:szCs w:val="28"/>
          <w:lang w:val="ru-RU" w:eastAsia="en-US"/>
        </w:rPr>
      </w:pPr>
      <w:r>
        <w:rPr>
          <w:rFonts w:eastAsia="Calibri" w:cs="PT Astra Serif" w:eastAsiaTheme="minorHAnsi" w:ascii="PT Astra Serif" w:hAnsi="PT Astra Serif"/>
          <w:b/>
          <w:sz w:val="28"/>
          <w:szCs w:val="28"/>
          <w:lang w:val="ru-RU" w:eastAsia="en-US"/>
        </w:rPr>
      </w:r>
    </w:p>
    <w:p>
      <w:pPr>
        <w:pStyle w:val="Normal"/>
        <w:spacing w:lineRule="auto" w:line="235" w:before="0" w:after="0"/>
        <w:ind w:firstLine="567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Правительство Ульяновской области  п о с т а н о в л я е т:</w:t>
      </w:r>
    </w:p>
    <w:p>
      <w:pPr>
        <w:pStyle w:val="Normal"/>
        <w:spacing w:lineRule="auto" w:line="240" w:before="0" w:after="0"/>
        <w:ind w:firstLine="54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>1. Внести в Правила предоставления потребительским обществам                           и сельскохозяйственным потребительским кооперативам субсидий                                 из областного бюджета Ульяновской области в целях возмещения части их затрат, связанных с развитием экономической деятельности, утверждённые постановлением Правительства Ульяновской области от 07.08.2014 № 346-П       «О некоторых мерах, направленных на развитие потребительских обществ, сельскохозяйственных потребительс</w:t>
      </w:r>
      <w:r>
        <w:rPr>
          <w:rFonts w:eastAsia="" w:cs="" w:ascii="PT Astra Serif" w:hAnsi="PT Astra Serif" w:cstheme="minorBidi" w:eastAsiaTheme="minorEastAsia"/>
          <w:color w:val="000000"/>
          <w:sz w:val="28"/>
          <w:szCs w:val="28"/>
          <w:lang w:val="ru-RU" w:eastAsia="zh-CN"/>
        </w:rPr>
        <w:t>ких кооперативов, садоводческих                и огороднических некоммерческих товариществ» следующие изменения:</w:t>
      </w:r>
    </w:p>
    <w:p>
      <w:pPr>
        <w:pStyle w:val="Normal"/>
        <w:spacing w:lineRule="auto" w:line="240" w:before="0" w:after="0"/>
        <w:ind w:firstLine="737"/>
        <w:jc w:val="both"/>
        <w:rPr>
          <w:rFonts w:ascii="PT Astra Serif" w:hAnsi="PT Astra Serif" w:eastAsia="" w:cs="" w:cstheme="minorBidi" w:eastAsiaTheme="minorEastAsia"/>
          <w:color w:val="000000"/>
          <w:sz w:val="28"/>
          <w:szCs w:val="28"/>
          <w:lang w:val="ru-RU" w:eastAsia="zh-CN"/>
        </w:rPr>
      </w:pPr>
      <w:r>
        <w:rPr>
          <w:rFonts w:eastAsia="" w:cs="" w:cstheme="minorBidi" w:eastAsiaTheme="minorEastAsia" w:ascii="PT Astra Serif" w:hAnsi="PT Astra Serif"/>
          <w:bCs/>
          <w:color w:val="000000"/>
          <w:spacing w:val="4"/>
          <w:sz w:val="28"/>
          <w:szCs w:val="28"/>
          <w:lang w:val="ru-RU" w:eastAsia="zh-CN"/>
        </w:rPr>
        <w:t>1) в подпункте 3 пункта 8 после слова «реорганизации» дополнить словами «(за исключением реорганизации в форме присоединения к заявителю другого юридического лица)»;</w:t>
      </w:r>
    </w:p>
    <w:p>
      <w:pPr>
        <w:pStyle w:val="Normal"/>
        <w:spacing w:lineRule="auto" w:line="240" w:before="0" w:after="0"/>
        <w:ind w:firstLine="737"/>
        <w:jc w:val="both"/>
        <w:rPr>
          <w:rFonts w:ascii="PT Astra Serif" w:hAnsi="PT Astra Serif" w:eastAsia="" w:cs="" w:cstheme="minorBidi" w:eastAsiaTheme="minorEastAsia"/>
          <w:color w:val="000000"/>
          <w:sz w:val="28"/>
          <w:szCs w:val="28"/>
          <w:lang w:val="ru-RU" w:eastAsia="zh-CN"/>
        </w:rPr>
      </w:pPr>
      <w:r>
        <w:rPr>
          <w:rFonts w:eastAsia="" w:cs="" w:cstheme="minorBidi" w:eastAsiaTheme="minorEastAsia" w:ascii="PT Astra Serif" w:hAnsi="PT Astra Serif"/>
          <w:bCs/>
          <w:color w:val="000000"/>
          <w:spacing w:val="4"/>
          <w:sz w:val="28"/>
          <w:szCs w:val="28"/>
          <w:lang w:val="ru-RU" w:eastAsia="zh-CN"/>
        </w:rPr>
        <w:t>2) подпункт 5 пункта 12 дополнить подпунктом «а</w:t>
      </w:r>
      <w:r>
        <w:rPr>
          <w:rFonts w:eastAsia="" w:cs="" w:cstheme="minorBidi" w:eastAsiaTheme="minorEastAsia" w:ascii="PT Astra Serif" w:hAnsi="PT Astra Serif"/>
          <w:bCs/>
          <w:color w:val="000000"/>
          <w:spacing w:val="4"/>
          <w:sz w:val="28"/>
          <w:szCs w:val="28"/>
          <w:vertAlign w:val="superscript"/>
          <w:lang w:val="ru-RU" w:eastAsia="zh-CN"/>
        </w:rPr>
        <w:t>1</w:t>
      </w:r>
      <w:r>
        <w:rPr>
          <w:rFonts w:eastAsia="" w:cs="" w:cstheme="minorBidi" w:eastAsiaTheme="minorEastAsia" w:ascii="PT Astra Serif" w:hAnsi="PT Astra Serif"/>
          <w:bCs/>
          <w:color w:val="000000"/>
          <w:spacing w:val="4"/>
          <w:sz w:val="28"/>
          <w:szCs w:val="28"/>
          <w:lang w:val="ru-RU" w:eastAsia="zh-CN"/>
        </w:rPr>
        <w:t>» следующего содержания:</w:t>
      </w:r>
    </w:p>
    <w:p>
      <w:pPr>
        <w:pStyle w:val="Normal"/>
        <w:spacing w:lineRule="auto" w:line="240" w:before="0" w:after="0"/>
        <w:ind w:firstLine="737"/>
        <w:jc w:val="both"/>
        <w:rPr>
          <w:rFonts w:ascii="PT Astra Serif" w:hAnsi="PT Astra Serif" w:eastAsia="" w:cs="" w:cstheme="minorBidi" w:eastAsiaTheme="minorEastAsia"/>
          <w:color w:val="000000"/>
          <w:sz w:val="28"/>
          <w:szCs w:val="28"/>
          <w:lang w:val="ru-RU" w:eastAsia="zh-CN"/>
        </w:rPr>
      </w:pPr>
      <w:r>
        <w:rPr>
          <w:rFonts w:eastAsia="" w:cs="" w:cstheme="minorBidi" w:eastAsiaTheme="minorEastAsia" w:ascii="PT Astra Serif" w:hAnsi="PT Astra Serif"/>
          <w:bCs/>
          <w:color w:val="000000"/>
          <w:spacing w:val="4"/>
          <w:sz w:val="28"/>
          <w:szCs w:val="28"/>
          <w:lang w:val="ru-RU" w:eastAsia="zh-CN"/>
        </w:rPr>
        <w:t>«а</w:t>
      </w:r>
      <w:r>
        <w:rPr>
          <w:rFonts w:eastAsia="" w:cs="" w:cstheme="minorBidi" w:eastAsiaTheme="minorEastAsia" w:ascii="PT Astra Serif" w:hAnsi="PT Astra Serif"/>
          <w:bCs/>
          <w:color w:val="000000"/>
          <w:spacing w:val="4"/>
          <w:sz w:val="28"/>
          <w:szCs w:val="28"/>
          <w:vertAlign w:val="superscript"/>
          <w:lang w:val="ru-RU" w:eastAsia="zh-CN"/>
        </w:rPr>
        <w:t>1</w:t>
      </w:r>
      <w:r>
        <w:rPr>
          <w:rFonts w:eastAsia="" w:cs="" w:cstheme="minorBidi" w:eastAsiaTheme="minorEastAsia" w:ascii="PT Astra Serif" w:hAnsi="PT Astra Serif"/>
          <w:bCs/>
          <w:color w:val="000000"/>
          <w:spacing w:val="4"/>
          <w:sz w:val="28"/>
          <w:szCs w:val="28"/>
          <w:lang w:val="ru-RU" w:eastAsia="zh-CN"/>
        </w:rPr>
        <w:t>) обязанность заявителя включать в договоры (соглашения), заключенные в целях исполнения его обязательств по соглашению о предоставлении субсидии, условие о согласии лиц, являющихся поставщиками (подрядчиками, исполнителями) по указанным договорам (соглашениям), на осуществление Министерством проверок соблюдения ими условий и порядка, установленных при предоставлении субсидии, в том числе в части достижения результата её предоставления, а также на осуществление органами государственного финансового контроля проверок в соответствии со статьями 268</w:t>
      </w:r>
      <w:r>
        <w:rPr>
          <w:rFonts w:eastAsia="" w:cs="" w:cstheme="minorBidi" w:eastAsiaTheme="minorEastAsia" w:ascii="PT Astra Serif" w:hAnsi="PT Astra Serif"/>
          <w:bCs/>
          <w:color w:val="000000"/>
          <w:spacing w:val="4"/>
          <w:sz w:val="28"/>
          <w:szCs w:val="28"/>
          <w:vertAlign w:val="superscript"/>
          <w:lang w:val="ru-RU" w:eastAsia="zh-CN"/>
        </w:rPr>
        <w:t>1</w:t>
      </w:r>
      <w:r>
        <w:rPr>
          <w:rFonts w:eastAsia="" w:cs="" w:cstheme="minorBidi" w:eastAsiaTheme="minorEastAsia" w:ascii="PT Astra Serif" w:hAnsi="PT Astra Serif"/>
          <w:bCs/>
          <w:color w:val="000000"/>
          <w:spacing w:val="4"/>
          <w:sz w:val="28"/>
          <w:szCs w:val="28"/>
          <w:lang w:val="ru-RU" w:eastAsia="zh-CN"/>
        </w:rPr>
        <w:t xml:space="preserve"> и 269</w:t>
      </w:r>
      <w:r>
        <w:rPr>
          <w:rFonts w:eastAsia="" w:cs="" w:cstheme="minorBidi" w:eastAsiaTheme="minorEastAsia" w:ascii="PT Astra Serif" w:hAnsi="PT Astra Serif"/>
          <w:bCs/>
          <w:color w:val="000000"/>
          <w:spacing w:val="4"/>
          <w:sz w:val="28"/>
          <w:szCs w:val="28"/>
          <w:vertAlign w:val="superscript"/>
          <w:lang w:val="ru-RU" w:eastAsia="zh-CN"/>
        </w:rPr>
        <w:t>2</w:t>
      </w:r>
      <w:r>
        <w:rPr>
          <w:rFonts w:eastAsia="" w:cs="" w:cstheme="minorBidi" w:eastAsiaTheme="minorEastAsia" w:ascii="PT Astra Serif" w:hAnsi="PT Astra Serif"/>
          <w:bCs/>
          <w:color w:val="000000"/>
          <w:spacing w:val="4"/>
          <w:sz w:val="28"/>
          <w:szCs w:val="28"/>
          <w:lang w:val="ru-RU" w:eastAsia="zh-CN"/>
        </w:rPr>
        <w:t xml:space="preserve"> Бюджетного кодекса Российской Федерации;»;</w:t>
      </w:r>
    </w:p>
    <w:p>
      <w:pPr>
        <w:pStyle w:val="Normal"/>
        <w:spacing w:lineRule="auto" w:line="240" w:before="0" w:after="0"/>
        <w:ind w:firstLine="737"/>
        <w:jc w:val="both"/>
        <w:rPr>
          <w:rFonts w:ascii="PT Astra Serif" w:hAnsi="PT Astra Serif" w:eastAsia="" w:cs="" w:cstheme="minorBidi" w:eastAsiaTheme="minorEastAsia"/>
          <w:color w:val="000000"/>
          <w:sz w:val="28"/>
          <w:szCs w:val="28"/>
          <w:lang w:val="ru-RU" w:eastAsia="zh-CN"/>
        </w:rPr>
      </w:pPr>
      <w:r>
        <w:rPr>
          <w:rFonts w:eastAsia="" w:cs="" w:cstheme="minorBidi" w:eastAsiaTheme="minorEastAsia" w:ascii="PT Astra Serif" w:hAnsi="PT Astra Serif"/>
          <w:bCs/>
          <w:color w:val="000000"/>
          <w:spacing w:val="4"/>
          <w:sz w:val="28"/>
          <w:szCs w:val="28"/>
          <w:lang w:val="ru-RU" w:eastAsia="zh-CN"/>
        </w:rPr>
        <w:t>3)подпункты 1 и 2 пункта 18</w:t>
      </w:r>
      <w:r>
        <w:rPr>
          <w:rFonts w:eastAsia="" w:cs="" w:cstheme="minorBidi" w:eastAsiaTheme="minorEastAsia" w:ascii="PT Astra Serif" w:hAnsi="PT Astra Serif"/>
          <w:bCs/>
          <w:color w:val="000000"/>
          <w:spacing w:val="4"/>
          <w:sz w:val="28"/>
          <w:szCs w:val="28"/>
          <w:vertAlign w:val="superscript"/>
          <w:lang w:val="ru-RU" w:eastAsia="zh-CN"/>
        </w:rPr>
        <w:t xml:space="preserve">1 </w:t>
      </w:r>
      <w:r>
        <w:rPr>
          <w:rFonts w:eastAsia="" w:cs="" w:cstheme="minorBidi" w:eastAsiaTheme="minorEastAsia" w:ascii="PT Astra Serif" w:hAnsi="PT Astra Serif"/>
          <w:bCs/>
          <w:color w:val="000000"/>
          <w:spacing w:val="4"/>
          <w:sz w:val="28"/>
          <w:szCs w:val="28"/>
          <w:lang w:val="ru-RU" w:eastAsia="zh-CN"/>
        </w:rPr>
        <w:t xml:space="preserve"> изложить в следующей редакции:</w:t>
      </w:r>
    </w:p>
    <w:p>
      <w:pPr>
        <w:pStyle w:val="Normal"/>
        <w:widowControl/>
        <w:suppressAutoHyphens w:val="false"/>
        <w:spacing w:lineRule="auto" w:line="240" w:before="0" w:after="0"/>
        <w:ind w:firstLine="709"/>
        <w:jc w:val="both"/>
        <w:rPr>
          <w:rFonts w:ascii="PT Astra Serif" w:hAnsi="PT Astra Serif" w:eastAsia="SimSun" w:cs="PT Astra Serif"/>
          <w:bCs/>
          <w:spacing w:val="4"/>
          <w:sz w:val="28"/>
          <w:szCs w:val="28"/>
          <w:lang w:val="ru-RU" w:eastAsia="en-US"/>
        </w:rPr>
      </w:pPr>
      <w:r>
        <w:rPr>
          <w:rFonts w:eastAsia="" w:cs="" w:ascii="PT Astra Serif" w:hAnsi="PT Astra Serif" w:cstheme="minorBidi" w:eastAsiaTheme="minorEastAsia"/>
          <w:bCs/>
          <w:color w:val="000000"/>
          <w:spacing w:val="4"/>
          <w:sz w:val="28"/>
          <w:szCs w:val="28"/>
          <w:lang w:val="ru-RU" w:eastAsia="zh-CN"/>
        </w:rPr>
        <w:t xml:space="preserve">«1) создание не менее одного нового постоянного рабочего места в год предоставления субсидии на каждый 1 млн. рублей субсидии - в случае предоставления субсидий в целях возмещения части затрат, предусмотренных пунктом 6 настоящих Правил, а также </w:t>
      </w:r>
      <w:r>
        <w:rPr>
          <w:rFonts w:eastAsia="" w:cs="" w:ascii="PT Astra Serif" w:hAnsi="PT Astra Serif" w:cstheme="minorBidi" w:eastAsiaTheme="minorEastAsia"/>
          <w:color w:val="000000"/>
          <w:sz w:val="28"/>
          <w:szCs w:val="28"/>
          <w:lang w:val="ru-RU" w:eastAsia="zh-CN"/>
        </w:rPr>
        <w:t>создание не менее одного рабочего места для постоянной работы в год предоставления субсидии - в случае предоставления субсидий в целях возмещения части затрат, п</w:t>
      </w:r>
      <w:r>
        <w:rPr>
          <w:rFonts w:eastAsia="SimSun" w:cs="PT Astra Serif" w:ascii="PT Astra Serif" w:hAnsi="PT Astra Serif"/>
          <w:sz w:val="28"/>
          <w:szCs w:val="28"/>
          <w:lang w:val="ru-RU" w:eastAsia="ru-RU"/>
        </w:rPr>
        <w:t xml:space="preserve">редусмотренных </w:t>
      </w:r>
      <w:hyperlink r:id="rId2">
        <w:r>
          <w:rPr>
            <w:rFonts w:eastAsia="SimSun" w:cs="PT Astra Serif" w:ascii="PT Astra Serif" w:hAnsi="PT Astra Serif"/>
            <w:sz w:val="28"/>
            <w:szCs w:val="28"/>
            <w:lang w:val="ru-RU" w:eastAsia="ru-RU"/>
          </w:rPr>
          <w:t>подпунктами 2</w:t>
        </w:r>
      </w:hyperlink>
      <w:r>
        <w:rPr>
          <w:rFonts w:eastAsia="SimSun" w:cs="PT Astra Serif" w:ascii="PT Astra Serif" w:hAnsi="PT Astra Serif"/>
          <w:sz w:val="28"/>
          <w:szCs w:val="28"/>
          <w:lang w:val="ru-RU" w:eastAsia="ru-RU"/>
        </w:rPr>
        <w:t xml:space="preserve"> (в связи с приобретением специализированных автотранспортных средств), </w:t>
      </w:r>
      <w:hyperlink r:id="rId3">
        <w:r>
          <w:rPr>
            <w:rFonts w:eastAsia="SimSun" w:cs="PT Astra Serif" w:ascii="PT Astra Serif" w:hAnsi="PT Astra Serif"/>
            <w:sz w:val="28"/>
            <w:szCs w:val="28"/>
            <w:lang w:val="ru-RU" w:eastAsia="ru-RU"/>
          </w:rPr>
          <w:t>3</w:t>
        </w:r>
      </w:hyperlink>
      <w:r>
        <w:rPr>
          <w:rFonts w:eastAsia="SimSun" w:cs="PT Astra Serif" w:ascii="PT Astra Serif" w:hAnsi="PT Astra Serif"/>
          <w:sz w:val="28"/>
          <w:szCs w:val="28"/>
          <w:lang w:val="ru-RU" w:eastAsia="ru-RU"/>
        </w:rPr>
        <w:t xml:space="preserve"> и </w:t>
      </w:r>
      <w:hyperlink r:id="rId4">
        <w:r>
          <w:rPr>
            <w:rFonts w:eastAsia="SimSun" w:cs="PT Astra Serif" w:ascii="PT Astra Serif" w:hAnsi="PT Astra Serif"/>
            <w:sz w:val="28"/>
            <w:szCs w:val="28"/>
            <w:lang w:val="ru-RU" w:eastAsia="ru-RU"/>
          </w:rPr>
          <w:t>7 пункта 6</w:t>
        </w:r>
      </w:hyperlink>
      <w:r>
        <w:rPr>
          <w:rFonts w:eastAsia="SimSun" w:cs="PT Astra Serif" w:ascii="PT Astra Serif" w:hAnsi="PT Astra Serif"/>
          <w:sz w:val="28"/>
          <w:szCs w:val="28"/>
          <w:lang w:val="ru-RU" w:eastAsia="ru-RU"/>
        </w:rPr>
        <w:t xml:space="preserve"> настоящих Правил;</w:t>
      </w:r>
    </w:p>
    <w:p>
      <w:pPr>
        <w:pStyle w:val="Normal"/>
        <w:spacing w:lineRule="auto" w:line="240" w:before="0" w:after="0"/>
        <w:ind w:firstLine="737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Cs/>
          <w:spacing w:val="4"/>
          <w:sz w:val="28"/>
          <w:szCs w:val="28"/>
          <w:lang w:val="ru-RU"/>
        </w:rPr>
        <w:t>2) увеличение в год предоставления субсидии</w:t>
      </w:r>
      <w:r>
        <w:rPr>
          <w:rFonts w:ascii="PT Astra Serif" w:hAnsi="PT Astra Serif"/>
          <w:bCs/>
          <w:color w:val="FF0000"/>
          <w:spacing w:val="4"/>
          <w:sz w:val="28"/>
          <w:szCs w:val="28"/>
          <w:lang w:val="ru-RU"/>
        </w:rPr>
        <w:t xml:space="preserve"> </w:t>
      </w:r>
      <w:r>
        <w:rPr>
          <w:rFonts w:ascii="PT Astra Serif" w:hAnsi="PT Astra Serif"/>
          <w:bCs/>
          <w:spacing w:val="4"/>
          <w:sz w:val="28"/>
          <w:szCs w:val="28"/>
          <w:lang w:val="ru-RU"/>
        </w:rPr>
        <w:t>не менее чем на 2% в натуральном выражении относительно предыдущего года объёма сельскохозяйственной продукции произведённой в личных подсобных хозяйствах граждан, а также индивидуальными предпринимателями, включая крестьянские (фермерские) хозяйства, закупленной (заготовленной) получателем субсидии, - в случае предоставления субсидий в целях возмещения части затрат, предусмотренных подпунктом 2 пункта 6 настоящих Правил;»;</w:t>
      </w:r>
    </w:p>
    <w:p>
      <w:pPr>
        <w:pStyle w:val="Normal"/>
        <w:spacing w:lineRule="auto" w:line="240" w:before="0" w:after="0"/>
        <w:ind w:firstLine="737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Cs/>
          <w:spacing w:val="4"/>
          <w:sz w:val="28"/>
          <w:szCs w:val="28"/>
          <w:lang w:val="ru-RU"/>
        </w:rPr>
        <w:t>4) дополнить пунктом 23 следующего содержания:</w:t>
      </w:r>
    </w:p>
    <w:p>
      <w:pPr>
        <w:pStyle w:val="Normal"/>
        <w:spacing w:lineRule="auto" w:line="240" w:before="0" w:after="0"/>
        <w:ind w:firstLine="737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bCs/>
          <w:spacing w:val="4"/>
          <w:sz w:val="28"/>
          <w:szCs w:val="28"/>
          <w:lang w:val="ru-RU"/>
        </w:rPr>
        <w:t>«23. Министерство и Министерство финансов Ульяновской области проводят мониторинг достижения результата предоставления субсидий исходя из достижения значений результата предоставления субсидий, определённых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Федерации.».</w:t>
      </w:r>
    </w:p>
    <w:p>
      <w:pPr>
        <w:pStyle w:val="Normal"/>
        <w:spacing w:lineRule="auto" w:line="240" w:before="0" w:after="0"/>
        <w:ind w:firstLine="540"/>
        <w:jc w:val="both"/>
        <w:rPr>
          <w:lang w:val="ru-RU"/>
        </w:rPr>
      </w:pPr>
      <w:r>
        <w:rPr>
          <w:rFonts w:eastAsia="SimSun" w:cs="PT Astra Serif" w:ascii="PT Astra Serif" w:hAnsi="PT Astra Serif"/>
          <w:bCs/>
          <w:spacing w:val="4"/>
          <w:sz w:val="28"/>
          <w:szCs w:val="28"/>
          <w:lang w:val="ru-RU" w:eastAsia="en-US"/>
        </w:rPr>
        <w:t xml:space="preserve">2. </w:t>
      </w:r>
      <w:r>
        <w:rPr>
          <w:rFonts w:eastAsia="Calibri" w:ascii="PT Astra Serif" w:hAnsi="PT Astra Serif" w:eastAsiaTheme="minorHAnsi"/>
          <w:sz w:val="28"/>
          <w:szCs w:val="28"/>
          <w:lang w:val="ru-RU" w:eastAsia="en-US"/>
        </w:rPr>
        <w:t xml:space="preserve"> </w:t>
      </w:r>
      <w:r>
        <w:rPr>
          <w:rFonts w:ascii="PT Astra Serif" w:hAnsi="PT Astra Serif"/>
          <w:sz w:val="28"/>
          <w:szCs w:val="28"/>
          <w:lang w:val="ru-RU"/>
        </w:rPr>
        <w:t>Настоящее постановление вступает в силу на следующий день после дня его официального опубликования, за исключением подпункта 4 пункта 1 настоящего постановления, который вступает в силу с 1 января 2023 года.</w:t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eastAsia="Calibri" w:eastAsiaTheme="minorHAnsi"/>
          <w:sz w:val="28"/>
          <w:szCs w:val="28"/>
          <w:lang w:val="ru-RU" w:eastAsia="en-US"/>
        </w:rPr>
      </w:pPr>
      <w:r>
        <w:rPr>
          <w:rFonts w:eastAsia="Calibri" w:eastAsiaTheme="minorHAnsi" w:ascii="PT Astra Serif" w:hAnsi="PT Astra Serif"/>
          <w:sz w:val="28"/>
          <w:szCs w:val="28"/>
          <w:lang w:val="ru-RU" w:eastAsia="en-US"/>
        </w:rPr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eastAsia="Calibri" w:eastAsiaTheme="minorHAnsi"/>
          <w:sz w:val="28"/>
          <w:szCs w:val="28"/>
          <w:lang w:val="ru-RU" w:eastAsia="en-US"/>
        </w:rPr>
      </w:pPr>
      <w:r>
        <w:rPr>
          <w:rFonts w:eastAsia="Calibri" w:eastAsiaTheme="minorHAnsi" w:ascii="PT Astra Serif" w:hAnsi="PT Astra Serif"/>
          <w:sz w:val="28"/>
          <w:szCs w:val="28"/>
          <w:lang w:val="ru-RU" w:eastAsia="en-US"/>
        </w:rPr>
      </w:r>
    </w:p>
    <w:p>
      <w:pPr>
        <w:pStyle w:val="Normal"/>
        <w:spacing w:lineRule="auto" w:line="235" w:before="0" w:after="0"/>
        <w:ind w:firstLine="709"/>
        <w:jc w:val="both"/>
        <w:rPr>
          <w:rFonts w:ascii="PT Astra Serif" w:hAnsi="PT Astra Serif" w:eastAsia="Calibri" w:eastAsiaTheme="minorHAnsi"/>
          <w:sz w:val="28"/>
          <w:szCs w:val="28"/>
          <w:lang w:val="ru-RU" w:eastAsia="en-US"/>
        </w:rPr>
      </w:pPr>
      <w:r>
        <w:rPr>
          <w:rFonts w:eastAsia="Calibri" w:eastAsiaTheme="minorHAnsi" w:ascii="PT Astra Serif" w:hAnsi="PT Astra Serif"/>
          <w:sz w:val="28"/>
          <w:szCs w:val="28"/>
          <w:lang w:val="ru-RU" w:eastAsia="en-US"/>
        </w:rPr>
      </w:r>
    </w:p>
    <w:p>
      <w:pPr>
        <w:pStyle w:val="Normal"/>
        <w:spacing w:lineRule="auto" w:line="228" w:before="0" w:after="0"/>
        <w:rPr>
          <w:rFonts w:ascii="PT Astra Serif" w:hAnsi="PT Astra Serif" w:eastAsia="SimSun" w:cs="PT Astra Serif"/>
          <w:bCs/>
          <w:spacing w:val="4"/>
          <w:sz w:val="28"/>
          <w:szCs w:val="28"/>
          <w:lang w:val="ru-RU" w:eastAsia="en-US"/>
        </w:rPr>
      </w:pPr>
      <w:r>
        <w:rPr>
          <w:rFonts w:eastAsia="SimSun" w:cs="PT Astra Serif" w:ascii="PT Astra Serif" w:hAnsi="PT Astra Serif"/>
          <w:bCs/>
          <w:spacing w:val="4"/>
          <w:sz w:val="28"/>
          <w:szCs w:val="28"/>
          <w:lang w:val="ru-RU" w:eastAsia="en-US"/>
        </w:rPr>
        <w:t>Председатель</w:t>
      </w:r>
    </w:p>
    <w:p>
      <w:pPr>
        <w:pStyle w:val="Normal"/>
        <w:tabs>
          <w:tab w:val="clear" w:pos="720"/>
          <w:tab w:val="left" w:pos="7797" w:leader="none"/>
        </w:tabs>
        <w:spacing w:lineRule="auto" w:line="228" w:before="0" w:after="0"/>
        <w:jc w:val="both"/>
        <w:rPr>
          <w:rFonts w:ascii="PT Astra Serif" w:hAnsi="PT Astra Serif" w:eastAsia="Calibri" w:eastAsiaTheme="minorHAnsi"/>
          <w:sz w:val="28"/>
          <w:szCs w:val="28"/>
          <w:lang w:val="ru-RU" w:eastAsia="en-US"/>
        </w:rPr>
      </w:pPr>
      <w:r>
        <w:rPr>
          <w:rFonts w:eastAsia="SimSun" w:cs="PT Astra Serif" w:ascii="PT Astra Serif" w:hAnsi="PT Astra Serif"/>
          <w:bCs/>
          <w:spacing w:val="4"/>
          <w:sz w:val="28"/>
          <w:szCs w:val="28"/>
          <w:lang w:val="ru-RU" w:eastAsia="en-US"/>
        </w:rPr>
        <w:t>Правительства области                                                                    В.Н.Разумков</w:t>
      </w:r>
    </w:p>
    <w:sectPr>
      <w:headerReference w:type="default" r:id="rId5"/>
      <w:footerReference w:type="default" r:id="rId6"/>
      <w:footerReference w:type="first" r:id="rId7"/>
      <w:type w:val="nextPage"/>
      <w:pgSz w:w="11906" w:h="16838"/>
      <w:pgMar w:left="1701" w:right="567" w:gutter="0" w:header="709" w:top="1134" w:footer="709" w:bottom="1134"/>
      <w:pgNumType w:fmt="decimal"/>
      <w:formProt w:val="false"/>
      <w:titlePg/>
      <w:textDirection w:val="lrTb"/>
      <w:docGrid w:type="default" w:linePitch="360" w:charSpace="5734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SimSun">
    <w:charset w:val="cc"/>
    <w:family w:val="swiss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PT Astra Serif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>
        <w:rFonts w:ascii="PT Astra Serif" w:hAnsi="PT Astra Serif"/>
        <w:sz w:val="16"/>
        <w:lang w:val="ru-RU"/>
      </w:rPr>
    </w:pPr>
    <w:r>
      <w:rPr>
        <w:rFonts w:ascii="PT Astra Serif" w:hAnsi="PT Astra Serif"/>
        <w:sz w:val="16"/>
        <w:lang w:val="ru-RU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spacing w:before="0" w:after="0"/>
      <w:jc w:val="center"/>
      <w:rPr/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uiPriority="99" w:semiHidden="1" w:unhideWhenUsed="1"/>
    <w:lsdException w:name="HTML Bottom of Form" w:uiPriority="99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99" w:semiHidden="1" w:unhideWhenUsed="1"/>
    <w:lsdException w:name="No Spacing" w:uiPriority="99" w:semiHidden="1" w:unhideWhenUsed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 w:semiHidden="1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0"/>
      <w:szCs w:val="20"/>
      <w:lang w:val="en-US" w:eastAsia="zh-CN" w:bidi="ar-SA"/>
    </w:rPr>
  </w:style>
  <w:style w:type="paragraph" w:styleId="1">
    <w:name w:val="Heading 1"/>
    <w:basedOn w:val="11"/>
    <w:next w:val="Normal"/>
    <w:qFormat/>
    <w:pPr>
      <w:spacing w:beforeAutospacing="1" w:afterAutospacing="1"/>
      <w:outlineLvl w:val="0"/>
    </w:pPr>
    <w:rPr>
      <w:rFonts w:ascii="SimSun" w:hAnsi="SimSun" w:eastAsia="SimSun" w:cs="Times New Roman"/>
      <w:b/>
      <w:bCs/>
      <w:kern w:val="2"/>
      <w:sz w:val="48"/>
      <w:szCs w:val="48"/>
    </w:rPr>
  </w:style>
  <w:style w:type="paragraph" w:styleId="2">
    <w:name w:val="Heading 2"/>
    <w:basedOn w:val="11"/>
    <w:next w:val="Style1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11"/>
    <w:next w:val="Style19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 w:customStyle="1">
    <w:name w:val="Интернет-ссылка"/>
    <w:rPr>
      <w:color w:val="000080"/>
      <w:u w:val="single"/>
      <w:lang w:val="zh-CN" w:eastAsia="zh-CN" w:bidi="zh-CN"/>
    </w:rPr>
  </w:style>
  <w:style w:type="character" w:styleId="Style12" w:customStyle="1">
    <w:name w:val="Нижний колонтитул Знак"/>
    <w:basedOn w:val="DefaultParagraphFont"/>
    <w:qFormat/>
    <w:rsid w:val="00956c46"/>
    <w:rPr>
      <w:rFonts w:ascii="Calibri" w:hAnsi="Calibri" w:eastAsia="" w:cs="" w:asciiTheme="minorHAnsi" w:cstheme="minorBidi" w:eastAsiaTheme="minorEastAsia" w:hAnsiTheme="minorHAnsi"/>
      <w:lang w:val="en-US" w:eastAsia="zh-CN"/>
    </w:rPr>
  </w:style>
  <w:style w:type="character" w:styleId="Style13" w:customStyle="1">
    <w:name w:val="Текст выноски Знак"/>
    <w:basedOn w:val="DefaultParagraphFont"/>
    <w:qFormat/>
    <w:rsid w:val="001a77f8"/>
    <w:rPr>
      <w:rFonts w:ascii="Tahoma" w:hAnsi="Tahoma" w:eastAsia="" w:cs="Tahoma" w:eastAsiaTheme="minorEastAsia"/>
      <w:sz w:val="16"/>
      <w:szCs w:val="16"/>
      <w:lang w:val="en-US" w:eastAsia="zh-CN"/>
    </w:rPr>
  </w:style>
  <w:style w:type="character" w:styleId="Style14" w:customStyle="1">
    <w:name w:val="Символ сноски"/>
    <w:qFormat/>
    <w:rPr/>
  </w:style>
  <w:style w:type="character" w:styleId="Style15" w:customStyle="1">
    <w:name w:val="Привязка сноски"/>
    <w:rPr>
      <w:vertAlign w:val="superscript"/>
    </w:rPr>
  </w:style>
  <w:style w:type="character" w:styleId="Style16" w:customStyle="1">
    <w:name w:val="Привязка концевой сноски"/>
    <w:rPr>
      <w:vertAlign w:val="superscript"/>
    </w:rPr>
  </w:style>
  <w:style w:type="character" w:styleId="Style17" w:customStyle="1">
    <w:name w:val="Символ концевой сноски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qFormat/>
    <w:pPr>
      <w:spacing w:before="0" w:after="140"/>
    </w:pPr>
    <w:rPr/>
  </w:style>
  <w:style w:type="paragraph" w:styleId="Style20">
    <w:name w:val="List"/>
    <w:basedOn w:val="Style19"/>
    <w:qFormat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11" w:customStyle="1">
    <w:name w:val="Заголовок1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next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Style23">
    <w:name w:val="Title"/>
    <w:basedOn w:val="Normal"/>
    <w:next w:val="Style19"/>
    <w:uiPriority w:val="99"/>
    <w:qFormat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tyle24" w:customStyle="1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 w:customStyle="1">
    <w:name w:val="Колонтитул"/>
    <w:basedOn w:val="Normal"/>
    <w:qFormat/>
    <w:pPr/>
    <w:rPr/>
  </w:style>
  <w:style w:type="paragraph" w:styleId="Style26">
    <w:name w:val="Header"/>
    <w:basedOn w:val="Style24"/>
    <w:pPr/>
    <w:rPr/>
  </w:style>
  <w:style w:type="paragraph" w:styleId="12" w:customStyle="1">
    <w:name w:val="Указатель1"/>
    <w:basedOn w:val="Normal"/>
    <w:qFormat/>
    <w:pPr>
      <w:suppressLineNumbers/>
    </w:pPr>
    <w:rPr>
      <w:rFonts w:cs="Arial"/>
    </w:rPr>
  </w:style>
  <w:style w:type="paragraph" w:styleId="FORMATTEXT" w:customStyle="1">
    <w:name w:val=".FORMATTEXT"/>
    <w:uiPriority w:val="99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eastAsia="Times New Roman" w:ascii="Times New Roman" w:hAnsi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ru-RU" w:eastAsia="ru-RU" w:bidi="ar-SA"/>
    </w:rPr>
  </w:style>
  <w:style w:type="paragraph" w:styleId="ConsPlusNonformat" w:customStyle="1">
    <w:name w:val="ConsPlusNonformat"/>
    <w:qFormat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7">
    <w:name w:val="Footer"/>
    <w:basedOn w:val="Normal"/>
    <w:rsid w:val="00956c46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rsid w:val="001a77f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unhideWhenUsed/>
    <w:qFormat/>
    <w:rsid w:val="008d77d9"/>
    <w:pPr>
      <w:spacing w:before="0" w:after="200"/>
      <w:ind w:left="720" w:hanging="0"/>
      <w:contextualSpacing/>
    </w:pPr>
    <w:rPr/>
  </w:style>
  <w:style w:type="paragraph" w:styleId="Style28">
    <w:name w:val="Footnote Text"/>
    <w:basedOn w:val="Normal"/>
    <w:pPr>
      <w:suppressLineNumbers/>
      <w:ind w:left="339" w:hanging="339"/>
    </w:pPr>
    <w:rPr/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;Times New Roma" w:hAnsi="Liberation Serif;Times New Roma" w:eastAsia="Tahoma" w:cs="Noto Sans Devanagari;Times New"/>
      <w:color w:val="auto"/>
      <w:kern w:val="2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612AA524CAC62C4D4171A0F4627664BA8962EC01F546B3563B92CEEC5F20A0032E85433B66D0F89ED8613AEF64B5F4A5CA8676D256865E2E01A7E8W5SFG" TargetMode="External"/><Relationship Id="rId3" Type="http://schemas.openxmlformats.org/officeDocument/2006/relationships/hyperlink" Target="consultantplus://offline/ref=612AA524CAC62C4D4171A0F4627664BA8962EC01F546B3563B92CEEC5F20A0032E85433B66D0F89ED8613AEC64B5F4A5CA8676D256865E2E01A7E8W5SFG" TargetMode="External"/><Relationship Id="rId4" Type="http://schemas.openxmlformats.org/officeDocument/2006/relationships/hyperlink" Target="consultantplus://offline/ref=612AA524CAC62C4D4171A0F4627664BA8962EC01F546B3563B92CEEC5F20A0032E85433B66D0F89ED96939EB64B5F4A5CA8676D256865E2E01A7E8W5SFG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3206</TotalTime>
  <Application>LibreOffice/7.2.1.2$Windows_X86_64 LibreOffice_project/87b77fad49947c1441b67c559c339af8f3517e22</Application>
  <AppVersion>15.0000</AppVersion>
  <Pages>2</Pages>
  <Words>433</Words>
  <Characters>2993</Characters>
  <CharactersWithSpaces>3558</CharactersWithSpaces>
  <Paragraphs>18</Paragraphs>
  <Company>КонсультантПлюс Версия 4021.00.29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2021-08-24T15:47:00Z</dcterms:created>
  <dc:creator>holod</dc:creator>
  <dc:description/>
  <dc:language>ru-RU</dc:language>
  <cp:lastModifiedBy/>
  <cp:lastPrinted>2022-06-01T13:52:23Z</cp:lastPrinted>
  <dcterms:modified xsi:type="dcterms:W3CDTF">2022-06-01T14:35:33Z</dcterms:modified>
  <cp:revision>72</cp:revision>
  <dc:subject/>
  <dc:title>Постановление Правительства Ульяновской области от 28.05.2021 N 213-П"О внесении изменений в постановление Правительства Ульяновской области от 07.08.2014 N 346-П и признании утратившими силу отдельных положений постановления Правительства Ульяновской области от 04.06.2020 N 283-П"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KSOProductBuildVer">
    <vt:lpwstr>1049-11.2.0.9127</vt:lpwstr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