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8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4714D" w:rsidRDefault="00463CA1" w:rsidP="00604E3B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604E3B">
        <w:rPr>
          <w:rFonts w:ascii="PT Astra Serif" w:hAnsi="PT Astra Serif"/>
          <w:b/>
          <w:sz w:val="28"/>
          <w:szCs w:val="28"/>
        </w:rPr>
        <w:t xml:space="preserve">О </w:t>
      </w:r>
      <w:r w:rsidR="00604E3B" w:rsidRPr="00604E3B">
        <w:rPr>
          <w:rFonts w:ascii="PT Astra Serif" w:hAnsi="PT Astra Serif"/>
          <w:b/>
          <w:sz w:val="28"/>
          <w:szCs w:val="28"/>
        </w:rPr>
        <w:t xml:space="preserve">внесении изменений </w:t>
      </w:r>
      <w:r w:rsidR="00604E3B">
        <w:rPr>
          <w:rFonts w:ascii="PT Astra Serif" w:hAnsi="PT Astra Serif"/>
          <w:b/>
          <w:sz w:val="28"/>
          <w:szCs w:val="28"/>
        </w:rPr>
        <w:br/>
      </w:r>
      <w:r w:rsidR="00604E3B" w:rsidRPr="00604E3B">
        <w:rPr>
          <w:rFonts w:ascii="PT Astra Serif" w:hAnsi="PT Astra Serif"/>
          <w:b/>
          <w:sz w:val="28"/>
          <w:szCs w:val="28"/>
        </w:rPr>
        <w:t xml:space="preserve">в постановлениеПравительства Ульяновской области </w:t>
      </w:r>
      <w:r w:rsidR="00604E3B">
        <w:rPr>
          <w:rFonts w:ascii="PT Astra Serif" w:hAnsi="PT Astra Serif"/>
          <w:b/>
          <w:sz w:val="28"/>
          <w:szCs w:val="28"/>
        </w:rPr>
        <w:br/>
      </w:r>
      <w:r w:rsidR="00604E3B" w:rsidRPr="00604E3B">
        <w:rPr>
          <w:rFonts w:ascii="PT Astra Serif" w:hAnsi="PT Astra Serif"/>
          <w:b/>
          <w:sz w:val="28"/>
          <w:szCs w:val="28"/>
        </w:rPr>
        <w:t>от 06.03.2014 № 84-П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«</w:t>
      </w:r>
      <w:r w:rsidR="00604E3B" w:rsidRPr="00604E3B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06.03.2014 № 84-П</w:t>
      </w:r>
      <w:r w:rsidR="00803A3E">
        <w:rPr>
          <w:rFonts w:ascii="PT Astra Serif" w:hAnsi="PT Astra Serif"/>
          <w:sz w:val="28"/>
          <w:szCs w:val="28"/>
        </w:rPr>
        <w:t xml:space="preserve">»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9F0772">
        <w:rPr>
          <w:rFonts w:ascii="PT Astra Serif" w:hAnsi="PT Astra Serif"/>
          <w:sz w:val="28"/>
          <w:szCs w:val="28"/>
        </w:rPr>
        <w:t xml:space="preserve">Министерством </w:t>
      </w:r>
      <w:r w:rsidR="00AA0CAA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Правительство Ульяновской области сообщает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разработанв</w:t>
      </w:r>
      <w:r w:rsidR="009138E6">
        <w:rPr>
          <w:rFonts w:ascii="PT Astra Serif" w:hAnsi="PT Astra Serif"/>
          <w:sz w:val="28"/>
          <w:szCs w:val="28"/>
        </w:rPr>
        <w:t>соответствии со статьёй 78 Бюджетного</w:t>
      </w:r>
      <w:r w:rsidR="00C92C7C">
        <w:rPr>
          <w:rFonts w:ascii="PT Astra Serif" w:hAnsi="PT Astra Serif"/>
          <w:sz w:val="28"/>
          <w:szCs w:val="28"/>
        </w:rPr>
        <w:t xml:space="preserve"> кодекса Росс</w:t>
      </w:r>
      <w:r w:rsidR="001333EC">
        <w:rPr>
          <w:rFonts w:ascii="PT Astra Serif" w:hAnsi="PT Astra Serif"/>
          <w:sz w:val="28"/>
          <w:szCs w:val="28"/>
        </w:rPr>
        <w:t>ийской Федерации</w:t>
      </w:r>
      <w:r w:rsidR="00604E3B" w:rsidRPr="00604E3B">
        <w:rPr>
          <w:rFonts w:ascii="PT Astra Serif" w:hAnsi="PT Astra Serif"/>
          <w:sz w:val="28"/>
          <w:szCs w:val="28"/>
        </w:rPr>
        <w:t xml:space="preserve">и государственной программой Ульяновской области «Развитие агропромышленного комплекса, сельских территорий и </w:t>
      </w:r>
      <w:r w:rsidR="00604E3B" w:rsidRPr="00604E3B">
        <w:rPr>
          <w:rFonts w:ascii="PT Astra Serif" w:hAnsi="PT Astra Serif"/>
          <w:sz w:val="28"/>
          <w:szCs w:val="28"/>
        </w:rPr>
        <w:lastRenderedPageBreak/>
        <w:t>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="00604E3B">
        <w:rPr>
          <w:rFonts w:ascii="PT Astra Serif" w:hAnsi="PT Astra Serif"/>
          <w:sz w:val="28"/>
          <w:szCs w:val="28"/>
        </w:rPr>
        <w:t>.</w:t>
      </w:r>
    </w:p>
    <w:p w:rsidR="00907324" w:rsidRDefault="000840F2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</w:t>
      </w:r>
      <w:r w:rsidR="00604E3B" w:rsidRPr="00604E3B">
        <w:rPr>
          <w:rFonts w:ascii="PT Astra Serif" w:hAnsi="PT Astra Serif"/>
          <w:sz w:val="28"/>
          <w:szCs w:val="28"/>
        </w:rPr>
        <w:t>постановление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скотоводства»</w:t>
      </w:r>
      <w:r w:rsidR="00AC5D8F" w:rsidRPr="00D4714D">
        <w:rPr>
          <w:rFonts w:ascii="PT Astra Serif" w:hAnsi="PT Astra Serif"/>
          <w:sz w:val="28"/>
          <w:szCs w:val="28"/>
        </w:rPr>
        <w:t>(далее – постановление Правительства Ульяновской области от</w:t>
      </w:r>
      <w:r w:rsidR="00775B3C">
        <w:rPr>
          <w:rFonts w:ascii="PT Astra Serif" w:hAnsi="PT Astra Serif"/>
          <w:sz w:val="28"/>
          <w:szCs w:val="28"/>
        </w:rPr>
        <w:t> </w:t>
      </w:r>
      <w:r w:rsidR="00604E3B" w:rsidRPr="00604E3B">
        <w:rPr>
          <w:rFonts w:ascii="PT Astra Serif" w:hAnsi="PT Astra Serif"/>
          <w:sz w:val="28"/>
          <w:szCs w:val="28"/>
        </w:rPr>
        <w:t>06.03.2014 № 84-П</w:t>
      </w:r>
      <w:r w:rsidR="00AC5D8F" w:rsidRPr="00D4714D">
        <w:rPr>
          <w:rFonts w:ascii="PT Astra Serif" w:hAnsi="PT Astra Serif"/>
          <w:sz w:val="28"/>
          <w:szCs w:val="28"/>
        </w:rPr>
        <w:t xml:space="preserve">) </w:t>
      </w:r>
      <w:r w:rsidR="00604E3B">
        <w:rPr>
          <w:rFonts w:ascii="PT Astra Serif" w:hAnsi="PT Astra Serif"/>
          <w:sz w:val="28"/>
          <w:szCs w:val="28"/>
        </w:rPr>
        <w:br/>
      </w:r>
      <w:r w:rsidR="00907324" w:rsidRPr="00D4714D">
        <w:rPr>
          <w:rFonts w:ascii="PT Astra Serif" w:hAnsi="PT Astra Serif"/>
          <w:sz w:val="28"/>
          <w:szCs w:val="28"/>
        </w:rPr>
        <w:t>вчасти</w:t>
      </w:r>
      <w:r w:rsidR="00604E3B">
        <w:rPr>
          <w:rFonts w:ascii="PT Astra Serif" w:hAnsi="PT Astra Serif"/>
          <w:sz w:val="28"/>
          <w:szCs w:val="28"/>
        </w:rPr>
        <w:t xml:space="preserve"> изложения в новой редакции п</w:t>
      </w:r>
      <w:r w:rsidR="00604E3B" w:rsidRPr="00604E3B">
        <w:rPr>
          <w:rFonts w:ascii="PT Astra Serif" w:hAnsi="PT Astra Serif"/>
          <w:sz w:val="28"/>
          <w:szCs w:val="28"/>
        </w:rPr>
        <w:t>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</w:t>
      </w:r>
      <w:r w:rsidR="00604E3B">
        <w:rPr>
          <w:rFonts w:ascii="PT Astra Serif" w:hAnsi="PT Astra Serif"/>
          <w:sz w:val="28"/>
          <w:szCs w:val="28"/>
        </w:rPr>
        <w:t>, в том числе:</w:t>
      </w:r>
    </w:p>
    <w:p w:rsidR="00604E3B" w:rsidRDefault="00604E3B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устанавливается предмет субсидирования и т</w:t>
      </w:r>
      <w:r w:rsidRPr="00604E3B">
        <w:rPr>
          <w:rFonts w:ascii="PT Astra Serif" w:hAnsi="PT Astra Serif"/>
          <w:sz w:val="28"/>
          <w:szCs w:val="28"/>
        </w:rPr>
        <w:t>ребования, которым должен соответствовать сельскохозяйственный товаропроизводитель</w:t>
      </w:r>
      <w:r>
        <w:rPr>
          <w:rFonts w:ascii="PT Astra Serif" w:hAnsi="PT Astra Serif"/>
          <w:sz w:val="28"/>
          <w:szCs w:val="28"/>
        </w:rPr>
        <w:t>, для получения субсидии;</w:t>
      </w:r>
    </w:p>
    <w:p w:rsidR="00604E3B" w:rsidRDefault="00604E3B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определяются формулы расчёта объёма предоставляемых субсидий и перечень документов, предоставляемых для получения субсидии;</w:t>
      </w:r>
    </w:p>
    <w:p w:rsidR="00604E3B" w:rsidRDefault="00604E3B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устанавливаются р</w:t>
      </w:r>
      <w:r w:rsidRPr="00604E3B">
        <w:rPr>
          <w:rFonts w:ascii="PT Astra Serif" w:hAnsi="PT Astra Serif"/>
          <w:sz w:val="28"/>
          <w:szCs w:val="28"/>
        </w:rPr>
        <w:t>езультат</w:t>
      </w:r>
      <w:r>
        <w:rPr>
          <w:rFonts w:ascii="PT Astra Serif" w:hAnsi="PT Astra Serif"/>
          <w:sz w:val="28"/>
          <w:szCs w:val="28"/>
        </w:rPr>
        <w:t>ы</w:t>
      </w:r>
      <w:r w:rsidRPr="00604E3B">
        <w:rPr>
          <w:rFonts w:ascii="PT Astra Serif" w:hAnsi="PT Astra Serif"/>
          <w:sz w:val="28"/>
          <w:szCs w:val="28"/>
        </w:rPr>
        <w:t xml:space="preserve"> предоставления субсидий</w:t>
      </w:r>
      <w:r>
        <w:rPr>
          <w:rFonts w:ascii="PT Astra Serif" w:hAnsi="PT Astra Serif"/>
          <w:sz w:val="28"/>
          <w:szCs w:val="28"/>
        </w:rPr>
        <w:t>, а также порядок перечисления и возврата субсидии.</w:t>
      </w:r>
    </w:p>
    <w:p w:rsidR="00907324" w:rsidRDefault="002774FB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акта</w:t>
      </w:r>
      <w:r w:rsidR="00907324" w:rsidRPr="00D4714D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167DCD" w:rsidRPr="00D4714D" w:rsidRDefault="00167DCD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A78BD">
        <w:rPr>
          <w:rFonts w:ascii="PT Astra Serif" w:hAnsi="PT Astra Serif"/>
          <w:sz w:val="28"/>
          <w:szCs w:val="28"/>
        </w:rPr>
        <w:t xml:space="preserve">В целом </w:t>
      </w:r>
      <w:r w:rsidR="00C96BDC" w:rsidRPr="00EA78BD">
        <w:rPr>
          <w:rFonts w:ascii="PT Astra Serif" w:hAnsi="PT Astra Serif"/>
          <w:sz w:val="28"/>
          <w:szCs w:val="28"/>
        </w:rPr>
        <w:t xml:space="preserve">проект </w:t>
      </w:r>
      <w:r w:rsidRPr="00EA78BD">
        <w:rPr>
          <w:rFonts w:ascii="PT Astra Serif" w:hAnsi="PT Astra Serif"/>
          <w:sz w:val="28"/>
          <w:szCs w:val="28"/>
        </w:rPr>
        <w:t>акт</w:t>
      </w:r>
      <w:r w:rsidR="00C96BDC" w:rsidRPr="00EA78BD">
        <w:rPr>
          <w:rFonts w:ascii="PT Astra Serif" w:hAnsi="PT Astra Serif"/>
          <w:sz w:val="28"/>
          <w:szCs w:val="28"/>
        </w:rPr>
        <w:t>а</w:t>
      </w:r>
      <w:r w:rsidRPr="00EA78BD">
        <w:rPr>
          <w:rFonts w:ascii="PT Astra Serif" w:hAnsi="PT Astra Serif"/>
          <w:sz w:val="28"/>
          <w:szCs w:val="28"/>
        </w:rPr>
        <w:t xml:space="preserve"> направлен на </w:t>
      </w:r>
      <w:r w:rsidR="009E3CDC" w:rsidRPr="00EA78BD">
        <w:rPr>
          <w:rFonts w:ascii="PT Astra Serif" w:hAnsi="PT Astra Serif"/>
          <w:sz w:val="28"/>
          <w:szCs w:val="28"/>
        </w:rPr>
        <w:t xml:space="preserve">совершенствование </w:t>
      </w:r>
      <w:r w:rsidR="002774FB">
        <w:rPr>
          <w:rFonts w:ascii="PT Astra Serif" w:hAnsi="PT Astra Serif"/>
          <w:sz w:val="28"/>
          <w:szCs w:val="28"/>
        </w:rPr>
        <w:t xml:space="preserve">мер государственной поддержки </w:t>
      </w:r>
      <w:r w:rsidR="002D26A8">
        <w:rPr>
          <w:rFonts w:ascii="PT Astra Serif" w:hAnsi="PT Astra Serif"/>
          <w:sz w:val="28"/>
          <w:szCs w:val="28"/>
        </w:rPr>
        <w:t>сельскохозяйственных товаропроизводителей</w:t>
      </w:r>
      <w:r w:rsidR="002774FB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EA78BD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C720DF" w:rsidRPr="00C720DF" w:rsidRDefault="00C720DF" w:rsidP="00C720D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в настоящее время одной из актуальных проблем является</w:t>
      </w:r>
      <w:r w:rsidRPr="00C720DF">
        <w:rPr>
          <w:rFonts w:ascii="PT Astra Serif" w:hAnsi="PT Astra Serif"/>
          <w:sz w:val="28"/>
          <w:szCs w:val="28"/>
        </w:rPr>
        <w:t xml:space="preserve"> зависимост</w:t>
      </w:r>
      <w:r>
        <w:rPr>
          <w:rFonts w:ascii="PT Astra Serif" w:hAnsi="PT Astra Serif"/>
          <w:sz w:val="28"/>
          <w:szCs w:val="28"/>
        </w:rPr>
        <w:t>ь</w:t>
      </w:r>
      <w:r w:rsidRPr="00C720DF">
        <w:rPr>
          <w:rFonts w:ascii="PT Astra Serif" w:hAnsi="PT Astra Serif"/>
          <w:sz w:val="28"/>
          <w:szCs w:val="28"/>
        </w:rPr>
        <w:t xml:space="preserve"> товарных предприятий от поставщиков инкубационного яйца</w:t>
      </w:r>
      <w:r>
        <w:rPr>
          <w:rFonts w:ascii="PT Astra Serif" w:hAnsi="PT Astra Serif"/>
          <w:sz w:val="28"/>
          <w:szCs w:val="28"/>
        </w:rPr>
        <w:t>. При этом данная проблема</w:t>
      </w:r>
      <w:r w:rsidRPr="00C720DF">
        <w:rPr>
          <w:rFonts w:ascii="PT Astra Serif" w:hAnsi="PT Astra Serif"/>
          <w:sz w:val="28"/>
          <w:szCs w:val="28"/>
        </w:rPr>
        <w:t xml:space="preserve"> существует не только в Ульяновской области, но и в других регионах России. </w:t>
      </w:r>
      <w:r w:rsidRPr="009304D7">
        <w:rPr>
          <w:rFonts w:ascii="PT Astra Serif" w:hAnsi="PT Astra Serif"/>
          <w:color w:val="000000"/>
          <w:sz w:val="28"/>
          <w:szCs w:val="28"/>
        </w:rPr>
        <w:t>В 2018 году Россия ввезла около 600 млн. штук инкубационного яйца, а по итогам 2019 года уже около 1млрд. штук.</w:t>
      </w:r>
    </w:p>
    <w:p w:rsidR="00C720DF" w:rsidRDefault="00C720DF" w:rsidP="00C720D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20DF">
        <w:rPr>
          <w:rFonts w:ascii="PT Astra Serif" w:hAnsi="PT Astra Serif"/>
          <w:sz w:val="28"/>
          <w:szCs w:val="28"/>
        </w:rPr>
        <w:t>На данный момент внутри страны сложилась сложная ситуация с племенной продукцией в птицеводстве (суточные цыплята, инкубационное яйцо). В связи с ограничением импорта из-за введения санкций, прекращения авиасообщений, введения карантинных мероприятий, отмечается увеличение стоимости на инкубационное яйцо, использующееся при производстве (по сравнению с декабрём стоимость увеличилась по отдельным птицеводческим предприятиям до 78,5%).</w:t>
      </w:r>
      <w:r>
        <w:rPr>
          <w:rFonts w:ascii="PT Astra Serif" w:hAnsi="PT Astra Serif"/>
          <w:sz w:val="28"/>
          <w:szCs w:val="28"/>
        </w:rPr>
        <w:t xml:space="preserve"> Как следствие с</w:t>
      </w:r>
      <w:r w:rsidRPr="00C720DF">
        <w:rPr>
          <w:rFonts w:ascii="PT Astra Serif" w:hAnsi="PT Astra Serif"/>
          <w:sz w:val="28"/>
          <w:szCs w:val="28"/>
        </w:rPr>
        <w:t xml:space="preserve">ебестоимость товарной продукции возрастает, </w:t>
      </w:r>
      <w:r>
        <w:rPr>
          <w:rFonts w:ascii="PT Astra Serif" w:hAnsi="PT Astra Serif"/>
          <w:sz w:val="28"/>
          <w:szCs w:val="28"/>
        </w:rPr>
        <w:t>чт</w:t>
      </w:r>
      <w:r w:rsidRPr="00C720DF">
        <w:rPr>
          <w:rFonts w:ascii="PT Astra Serif" w:hAnsi="PT Astra Serif"/>
          <w:sz w:val="28"/>
          <w:szCs w:val="28"/>
        </w:rPr>
        <w:t xml:space="preserve">о соответственно отражается на эффективности производства. </w:t>
      </w:r>
    </w:p>
    <w:p w:rsidR="00C720DF" w:rsidRPr="00C720DF" w:rsidRDefault="00C720DF" w:rsidP="00C720D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20DF">
        <w:rPr>
          <w:rFonts w:ascii="PT Astra Serif" w:hAnsi="PT Astra Serif"/>
          <w:sz w:val="28"/>
          <w:szCs w:val="28"/>
        </w:rPr>
        <w:t>Производство крупного рогатого скота на убой остаётся более инертной отраслью по сравнению с молочным направлением, что связано с большой длительностью производственного цикла и</w:t>
      </w:r>
      <w:r>
        <w:rPr>
          <w:rFonts w:ascii="PT Astra Serif" w:hAnsi="PT Astra Serif"/>
          <w:sz w:val="28"/>
          <w:szCs w:val="28"/>
        </w:rPr>
        <w:t xml:space="preserve"> ростом затрат на производство. </w:t>
      </w:r>
      <w:r w:rsidRPr="00C720DF">
        <w:rPr>
          <w:rFonts w:ascii="PT Astra Serif" w:hAnsi="PT Astra Serif"/>
          <w:sz w:val="28"/>
          <w:szCs w:val="28"/>
        </w:rPr>
        <w:t xml:space="preserve">В итоге увеличивается стоимость конечного продукта, </w:t>
      </w:r>
      <w:r>
        <w:rPr>
          <w:rFonts w:ascii="PT Astra Serif" w:hAnsi="PT Astra Serif"/>
          <w:sz w:val="28"/>
          <w:szCs w:val="28"/>
        </w:rPr>
        <w:t>что</w:t>
      </w:r>
      <w:r w:rsidRPr="00C720DF">
        <w:rPr>
          <w:rFonts w:ascii="PT Astra Serif" w:hAnsi="PT Astra Serif"/>
          <w:sz w:val="28"/>
          <w:szCs w:val="28"/>
        </w:rPr>
        <w:t xml:space="preserve"> негативно влияет на объём потребления говядины. Резервом для наращивания объёмов производства крупного рогатого скота является создание специализированных ферм и площадок по выращиванию и откорму молодняка. </w:t>
      </w:r>
    </w:p>
    <w:p w:rsidR="00C720DF" w:rsidRPr="00C720DF" w:rsidRDefault="00C720DF" w:rsidP="00C720D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20DF">
        <w:rPr>
          <w:rFonts w:ascii="PT Astra Serif" w:hAnsi="PT Astra Serif"/>
          <w:sz w:val="28"/>
          <w:szCs w:val="28"/>
        </w:rPr>
        <w:t>Эффективность откорма помесного бычка выше эффективности откорма животных специализированных молочных пород. В связи с этим очень актуальным является вопрос организации откорма молодняка, прежде всего бычков, полученных от скрещивания коров молочных пород с быками мясного направления, для увеличения показателей мясной продуктивности. Наращиванию объёмов производства будет способствовать увеличение поголовья маточного поголовья коров мясного направления, как племенного, так и товарного. По итогам первого квартала 2020 года из общей численности коров, содержащихся в сельскохозяйственных организациях и крестьянских (фермерских) хозяйствах Ульяновской области, на долю товарных коров мясного направления приходится 2,2%.</w:t>
      </w:r>
    </w:p>
    <w:p w:rsidR="00C720DF" w:rsidRDefault="00C720DF" w:rsidP="00C720D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20DF">
        <w:rPr>
          <w:rFonts w:ascii="PT Astra Serif" w:hAnsi="PT Astra Serif"/>
          <w:sz w:val="28"/>
          <w:szCs w:val="28"/>
        </w:rPr>
        <w:t>Решить проблему можно путём закупки и целенаправленного откорма молодняка крупного рогатого скота, в том числе полученного от скрещивания коров молочного направления с быками мясных пород. Это позволит получать более высокие привесы животных, сократить сроки выращивания животных для реализации их на убой, увеличить объёмы производства.</w:t>
      </w:r>
    </w:p>
    <w:p w:rsidR="0076510A" w:rsidRPr="0076510A" w:rsidRDefault="0076510A" w:rsidP="007651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510A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11.02.2020 </w:t>
      </w:r>
      <w:r>
        <w:rPr>
          <w:rFonts w:ascii="PT Astra Serif" w:hAnsi="PT Astra Serif"/>
          <w:sz w:val="28"/>
          <w:szCs w:val="28"/>
        </w:rPr>
        <w:br/>
      </w:r>
      <w:r w:rsidRPr="0076510A">
        <w:rPr>
          <w:rFonts w:ascii="PT Astra Serif" w:hAnsi="PT Astra Serif"/>
          <w:sz w:val="28"/>
          <w:szCs w:val="28"/>
        </w:rPr>
        <w:t xml:space="preserve">№ 53-П «О признании утратившими силу отдельных нормативных правовых актов (положений нормативных правовых актов) Правительства Ульяновской области» 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годы», утверждённая постановлением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76510A">
        <w:rPr>
          <w:rFonts w:ascii="PT Astra Serif" w:hAnsi="PT Astra Serif"/>
          <w:sz w:val="28"/>
          <w:szCs w:val="28"/>
        </w:rPr>
        <w:t>от 11.09.2013 № 37/420-П, признана утратившей силу.</w:t>
      </w:r>
    </w:p>
    <w:p w:rsidR="00C720DF" w:rsidRDefault="0076510A" w:rsidP="007651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510A">
        <w:rPr>
          <w:rFonts w:ascii="PT Astra Serif" w:hAnsi="PT Astra Serif"/>
          <w:sz w:val="28"/>
          <w:szCs w:val="28"/>
        </w:rPr>
        <w:t>Действующая редакция постановления Правительства Ульяновской области от 06.03.2014 № 8</w:t>
      </w:r>
      <w:r>
        <w:rPr>
          <w:rFonts w:ascii="PT Astra Serif" w:hAnsi="PT Astra Serif"/>
          <w:sz w:val="28"/>
          <w:szCs w:val="28"/>
        </w:rPr>
        <w:t>4</w:t>
      </w:r>
      <w:r w:rsidRPr="0076510A">
        <w:rPr>
          <w:rFonts w:ascii="PT Astra Serif" w:hAnsi="PT Astra Serif"/>
          <w:sz w:val="28"/>
          <w:szCs w:val="28"/>
        </w:rPr>
        <w:t>-П не учитывает указанных изменений, что ограничивает возможность предоставления субсидий сельскохозяйственным товаропроизводителям Ульяновской области.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76510A" w:rsidRPr="0076510A">
        <w:rPr>
          <w:rFonts w:ascii="PT Astra Serif" w:hAnsi="PT Astra Serif"/>
          <w:sz w:val="28"/>
          <w:szCs w:val="28"/>
        </w:rPr>
        <w:t>устранения ситуации правовой неопределённости в сфере предоставления мер государственной поддержки</w:t>
      </w:r>
      <w:r w:rsidR="0076510A">
        <w:rPr>
          <w:rFonts w:ascii="PT Astra Serif" w:hAnsi="PT Astra Serif"/>
          <w:sz w:val="28"/>
          <w:szCs w:val="28"/>
        </w:rPr>
        <w:t xml:space="preserve">, а также расширения существующих мер государственной поддержки в целях </w:t>
      </w:r>
      <w:r w:rsidR="0014771B">
        <w:rPr>
          <w:rFonts w:ascii="PT Astra Serif" w:hAnsi="PT Astra Serif"/>
          <w:sz w:val="28"/>
          <w:szCs w:val="28"/>
        </w:rPr>
        <w:t>снижения финансовой нагрузки на сельскохозяйственных товаропроизводителей Ульяновской области.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076CD5" w:rsidRPr="00D4714D" w:rsidRDefault="00076CD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5C5E56" w:rsidRPr="00D4714D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076CD5">
        <w:rPr>
          <w:rFonts w:ascii="PT Astra Serif" w:hAnsi="PT Astra Serif"/>
          <w:sz w:val="28"/>
        </w:rPr>
        <w:t>основной ц</w:t>
      </w:r>
      <w:r w:rsidR="005C5E56" w:rsidRPr="00D4714D">
        <w:rPr>
          <w:rFonts w:ascii="PT Astra Serif" w:hAnsi="PT Astra Serif"/>
          <w:sz w:val="28"/>
        </w:rPr>
        <w:t>ел</w:t>
      </w:r>
      <w:r w:rsidR="0073623C" w:rsidRPr="00D4714D">
        <w:rPr>
          <w:rFonts w:ascii="PT Astra Serif" w:hAnsi="PT Astra Serif"/>
          <w:sz w:val="28"/>
        </w:rPr>
        <w:t>ь</w:t>
      </w:r>
      <w:r w:rsidR="00076CD5">
        <w:rPr>
          <w:rFonts w:ascii="PT Astra Serif" w:hAnsi="PT Astra Serif"/>
          <w:sz w:val="28"/>
        </w:rPr>
        <w:t>ю</w:t>
      </w:r>
      <w:r w:rsidR="005C5E56" w:rsidRPr="00D4714D">
        <w:rPr>
          <w:rFonts w:ascii="PT Astra Serif" w:hAnsi="PT Astra Serif"/>
          <w:sz w:val="28"/>
        </w:rPr>
        <w:t xml:space="preserve"> рассматриваемого</w:t>
      </w:r>
      <w:r w:rsidR="00076CD5">
        <w:rPr>
          <w:rFonts w:ascii="PT Astra Serif" w:hAnsi="PT Astra Serif"/>
          <w:sz w:val="28"/>
        </w:rPr>
        <w:t xml:space="preserve"> правового</w:t>
      </w:r>
      <w:r w:rsidR="005C5E56" w:rsidRPr="00D4714D">
        <w:rPr>
          <w:rFonts w:ascii="PT Astra Serif" w:hAnsi="PT Astra Serif"/>
          <w:sz w:val="28"/>
        </w:rPr>
        <w:t xml:space="preserve"> регулирования </w:t>
      </w:r>
      <w:r w:rsidR="00076CD5">
        <w:rPr>
          <w:rFonts w:ascii="PT Astra Serif" w:hAnsi="PT Astra Serif"/>
          <w:sz w:val="28"/>
        </w:rPr>
        <w:t>является</w:t>
      </w:r>
      <w:r w:rsidR="005C5E56" w:rsidRPr="00D4714D">
        <w:rPr>
          <w:rFonts w:ascii="PT Astra Serif" w:hAnsi="PT Astra Serif"/>
          <w:sz w:val="28"/>
        </w:rPr>
        <w:t>:</w:t>
      </w: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p w:rsidR="00076CD5" w:rsidRPr="00D4714D" w:rsidRDefault="00076CD5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1730"/>
        <w:gridCol w:w="3543"/>
      </w:tblGrid>
      <w:tr w:rsidR="004F14AC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14771B" w:rsidRPr="0014771B" w:rsidTr="00741BE5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B" w:rsidRPr="0014771B" w:rsidRDefault="0014771B" w:rsidP="00741BE5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bCs/>
                <w:color w:val="auto"/>
                <w:shd w:val="clear" w:color="auto" w:fill="FFFFFF"/>
              </w:rPr>
            </w:pPr>
            <w:r w:rsidRPr="0014771B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1) приведение Правил в соответствие </w:t>
            </w:r>
          </w:p>
          <w:p w:rsidR="0014771B" w:rsidRPr="0014771B" w:rsidRDefault="0014771B" w:rsidP="00741BE5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 w:rsidRPr="0014771B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с региональным законодательством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B" w:rsidRPr="0014771B" w:rsidRDefault="0014771B" w:rsidP="00741BE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2020-2024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B" w:rsidRPr="0014771B" w:rsidRDefault="0014771B" w:rsidP="00741BE5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-</w:t>
            </w:r>
          </w:p>
        </w:tc>
      </w:tr>
      <w:tr w:rsidR="00FA79AA" w:rsidRPr="0014771B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14771B" w:rsidRDefault="0014771B" w:rsidP="0014771B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 w:rsidRPr="0014771B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2) установление правового регулирования предоставления сельскохозяйственным товаропроизводителям дополнительных мер региональной поддержки в целях развития птицеводства и мясного скотоводства на территории Ульяновской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14771B" w:rsidRDefault="0014771B" w:rsidP="003F533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2020-2024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B" w:rsidRPr="0014771B" w:rsidRDefault="0014771B" w:rsidP="0014771B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1) объём производства продукции птицеводства</w:t>
            </w:r>
          </w:p>
          <w:p w:rsidR="0014771B" w:rsidRPr="0014771B" w:rsidRDefault="0014771B" w:rsidP="0014771B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 xml:space="preserve"> в хозяйствах всех категорий, </w:t>
            </w:r>
          </w:p>
          <w:p w:rsidR="0014771B" w:rsidRPr="0014771B" w:rsidRDefault="0014771B" w:rsidP="0014771B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в том числе по годам:</w:t>
            </w:r>
          </w:p>
          <w:p w:rsidR="0014771B" w:rsidRPr="0014771B" w:rsidRDefault="0014771B" w:rsidP="0014771B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2020 год – 4,8 тыс. тонн / 200 млн. шт;</w:t>
            </w:r>
          </w:p>
          <w:p w:rsidR="0014771B" w:rsidRPr="0014771B" w:rsidRDefault="0014771B" w:rsidP="0014771B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2021 год – 11,6 тыс. тонн / 220 млн. шт;</w:t>
            </w:r>
          </w:p>
          <w:p w:rsidR="0014771B" w:rsidRPr="0014771B" w:rsidRDefault="0014771B" w:rsidP="0014771B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2022 год – 12 тыс. тонн / 230 млн. шт;</w:t>
            </w:r>
          </w:p>
          <w:p w:rsidR="0014771B" w:rsidRPr="0014771B" w:rsidRDefault="0014771B" w:rsidP="0014771B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2023 год – 12 тыс. тонн / 230 млн. шт;</w:t>
            </w:r>
          </w:p>
          <w:p w:rsidR="0014771B" w:rsidRPr="0014771B" w:rsidRDefault="0014771B" w:rsidP="0014771B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 xml:space="preserve">2024 год – 12 тыс. тонн / 230 млн. шт. </w:t>
            </w:r>
          </w:p>
          <w:p w:rsidR="0014771B" w:rsidRPr="0014771B" w:rsidRDefault="0014771B" w:rsidP="0014771B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2) объём производства скота на убой (в живом весе), в том числе по годам:</w:t>
            </w:r>
          </w:p>
          <w:p w:rsidR="0014771B" w:rsidRPr="0014771B" w:rsidRDefault="0014771B" w:rsidP="0014771B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2020 год – 35 тыс. тонн;</w:t>
            </w:r>
          </w:p>
          <w:p w:rsidR="0014771B" w:rsidRPr="0014771B" w:rsidRDefault="0014771B" w:rsidP="0014771B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2021 год – 35,2 тыс. тонн;</w:t>
            </w:r>
          </w:p>
          <w:p w:rsidR="0014771B" w:rsidRPr="0014771B" w:rsidRDefault="0014771B" w:rsidP="0014771B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2022 год – 35,2 тыс. тонн;</w:t>
            </w:r>
          </w:p>
          <w:p w:rsidR="0014771B" w:rsidRPr="0014771B" w:rsidRDefault="0014771B" w:rsidP="0014771B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2023 год – 35,3 тыс. тонн;</w:t>
            </w:r>
          </w:p>
          <w:p w:rsidR="0029355D" w:rsidRPr="0014771B" w:rsidRDefault="0014771B" w:rsidP="0014771B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 w:rsidRPr="0014771B">
              <w:rPr>
                <w:rFonts w:ascii="PT Astra Serif" w:hAnsi="PT Astra Serif"/>
              </w:rPr>
              <w:t>2024 год – 35,3 тыс. тонн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362AE5" w:rsidRDefault="00362AE5" w:rsidP="00362A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Принятие проекта акта позволит</w:t>
      </w:r>
      <w:r w:rsidRPr="00362AE5">
        <w:rPr>
          <w:rFonts w:ascii="PT Astra Serif" w:hAnsi="PT Astra Serif"/>
          <w:sz w:val="28"/>
        </w:rPr>
        <w:t xml:space="preserve"> создать </w:t>
      </w:r>
      <w:r>
        <w:rPr>
          <w:rFonts w:ascii="PT Astra Serif" w:hAnsi="PT Astra Serif"/>
          <w:sz w:val="28"/>
        </w:rPr>
        <w:t xml:space="preserve">благоприятные </w:t>
      </w:r>
      <w:r w:rsidRPr="00362AE5">
        <w:rPr>
          <w:rFonts w:ascii="PT Astra Serif" w:hAnsi="PT Astra Serif"/>
          <w:sz w:val="28"/>
        </w:rPr>
        <w:t>условия для восстановления поголовья птицы и наращивания объёмов производства яйца куриного и мяса птицы</w:t>
      </w:r>
      <w:r>
        <w:rPr>
          <w:rFonts w:ascii="PT Astra Serif" w:hAnsi="PT Astra Serif"/>
          <w:sz w:val="28"/>
        </w:rPr>
        <w:t>,</w:t>
      </w:r>
      <w:r w:rsidRPr="00362AE5">
        <w:rPr>
          <w:rFonts w:ascii="PT Astra Serif" w:hAnsi="PT Astra Serif"/>
          <w:sz w:val="28"/>
        </w:rPr>
        <w:t xml:space="preserve"> необходимы</w:t>
      </w:r>
      <w:r>
        <w:rPr>
          <w:rFonts w:ascii="PT Astra Serif" w:hAnsi="PT Astra Serif"/>
          <w:sz w:val="28"/>
        </w:rPr>
        <w:t>х</w:t>
      </w:r>
      <w:r w:rsidRPr="00362AE5">
        <w:rPr>
          <w:rFonts w:ascii="PT Astra Serif" w:hAnsi="PT Astra Serif"/>
          <w:sz w:val="28"/>
        </w:rPr>
        <w:t xml:space="preserve"> для стабильной работы птицеводческих предприятий на территории Ульяновской области, а также рост</w:t>
      </w:r>
      <w:r>
        <w:rPr>
          <w:rFonts w:ascii="PT Astra Serif" w:hAnsi="PT Astra Serif"/>
          <w:sz w:val="28"/>
        </w:rPr>
        <w:t>а</w:t>
      </w:r>
      <w:r w:rsidRPr="00362AE5">
        <w:rPr>
          <w:rFonts w:ascii="PT Astra Serif" w:hAnsi="PT Astra Serif"/>
          <w:sz w:val="28"/>
        </w:rPr>
        <w:t xml:space="preserve"> поголовья крупного рогатого скота, прежде всего мясного направления, и увеличени</w:t>
      </w:r>
      <w:r>
        <w:rPr>
          <w:rFonts w:ascii="PT Astra Serif" w:hAnsi="PT Astra Serif"/>
          <w:sz w:val="28"/>
        </w:rPr>
        <w:t>я</w:t>
      </w:r>
      <w:r w:rsidRPr="00362AE5">
        <w:rPr>
          <w:rFonts w:ascii="PT Astra Serif" w:hAnsi="PT Astra Serif"/>
          <w:sz w:val="28"/>
        </w:rPr>
        <w:t xml:space="preserve"> объёмов производства и реализации крупного рогатого скота на убой в живом весе</w:t>
      </w:r>
      <w:r>
        <w:rPr>
          <w:rFonts w:ascii="PT Astra Serif" w:hAnsi="PT Astra Serif"/>
          <w:sz w:val="28"/>
        </w:rPr>
        <w:t>.</w:t>
      </w:r>
    </w:p>
    <w:p w:rsidR="00362AE5" w:rsidRPr="00D4714D" w:rsidRDefault="00362AE5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76510A" w:rsidRDefault="0069147C" w:rsidP="007651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схожие меры государственной поддержки в виде </w:t>
      </w:r>
      <w:r w:rsidR="0076510A" w:rsidRPr="0086066E">
        <w:rPr>
          <w:rFonts w:ascii="PT Astra Serif" w:hAnsi="PT Astra Serif"/>
          <w:sz w:val="28"/>
          <w:szCs w:val="28"/>
        </w:rPr>
        <w:t>предоставлени</w:t>
      </w:r>
      <w:r>
        <w:rPr>
          <w:rFonts w:ascii="PT Astra Serif" w:hAnsi="PT Astra Serif"/>
          <w:sz w:val="28"/>
          <w:szCs w:val="28"/>
        </w:rPr>
        <w:t>я</w:t>
      </w:r>
      <w:r w:rsidR="0086066E" w:rsidRPr="0086066E">
        <w:rPr>
          <w:rFonts w:ascii="PT Astra Serif" w:hAnsi="PT Astra Serif"/>
          <w:sz w:val="28"/>
          <w:szCs w:val="28"/>
        </w:rPr>
        <w:t xml:space="preserve"> сельскохозяйственным товаропроизводителям субсидий из </w:t>
      </w:r>
      <w:r>
        <w:rPr>
          <w:rFonts w:ascii="PT Astra Serif" w:hAnsi="PT Astra Serif"/>
          <w:sz w:val="28"/>
          <w:szCs w:val="28"/>
        </w:rPr>
        <w:t>регионального</w:t>
      </w:r>
      <w:r w:rsidR="0086066E" w:rsidRPr="0086066E">
        <w:rPr>
          <w:rFonts w:ascii="PT Astra Serif" w:hAnsi="PT Astra Serif"/>
          <w:sz w:val="28"/>
          <w:szCs w:val="28"/>
        </w:rPr>
        <w:t xml:space="preserve"> бюджета в целях возмещения части их затрат, связанных с развитием подотраслиживотноводства и скотоводства</w:t>
      </w:r>
      <w:r w:rsidR="0076510A" w:rsidRPr="0069147C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предусмотрены</w:t>
      </w:r>
      <w:r w:rsidR="0076510A" w:rsidRPr="0086066E">
        <w:rPr>
          <w:rFonts w:ascii="PT Astra Serif" w:hAnsi="PT Astra Serif"/>
          <w:sz w:val="28"/>
          <w:szCs w:val="28"/>
        </w:rPr>
        <w:t xml:space="preserve"> в </w:t>
      </w:r>
      <w:r w:rsidR="0086066E" w:rsidRPr="0086066E">
        <w:rPr>
          <w:rFonts w:ascii="PT Astra Serif" w:hAnsi="PT Astra Serif"/>
          <w:sz w:val="28"/>
          <w:szCs w:val="28"/>
        </w:rPr>
        <w:t>ряде</w:t>
      </w:r>
      <w:r w:rsidR="0076510A" w:rsidRPr="0086066E">
        <w:rPr>
          <w:rFonts w:ascii="PT Astra Serif" w:hAnsi="PT Astra Serif"/>
          <w:sz w:val="28"/>
          <w:szCs w:val="28"/>
        </w:rPr>
        <w:t xml:space="preserve"> субъект</w:t>
      </w:r>
      <w:r w:rsidR="0086066E" w:rsidRPr="0086066E">
        <w:rPr>
          <w:rFonts w:ascii="PT Astra Serif" w:hAnsi="PT Astra Serif"/>
          <w:sz w:val="28"/>
          <w:szCs w:val="28"/>
        </w:rPr>
        <w:t>ов</w:t>
      </w:r>
      <w:r w:rsidR="0076510A" w:rsidRPr="0086066E">
        <w:rPr>
          <w:rFonts w:ascii="PT Astra Serif" w:hAnsi="PT Astra Serif"/>
          <w:sz w:val="28"/>
          <w:szCs w:val="28"/>
        </w:rPr>
        <w:t xml:space="preserve"> Российской Федерации. Так, например:</w:t>
      </w:r>
    </w:p>
    <w:p w:rsidR="0069147C" w:rsidRPr="0069147C" w:rsidRDefault="0069147C" w:rsidP="006914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9147C">
        <w:rPr>
          <w:rFonts w:ascii="PT Astra Serif" w:hAnsi="PT Astra Serif"/>
          <w:sz w:val="28"/>
          <w:szCs w:val="28"/>
        </w:rPr>
        <w:t>- постановление главы администрации (губернатора) Краснодарского края от 05.10.2015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продовольствия»;</w:t>
      </w:r>
    </w:p>
    <w:p w:rsidR="0069147C" w:rsidRPr="0069147C" w:rsidRDefault="0069147C" w:rsidP="006914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69147C">
        <w:rPr>
          <w:rFonts w:ascii="PT Astra Serif" w:hAnsi="PT Astra Serif"/>
          <w:sz w:val="28"/>
          <w:szCs w:val="28"/>
        </w:rPr>
        <w:t xml:space="preserve"> постановление Администрации Волгоградской области от 26.12.2016 </w:t>
      </w:r>
      <w:r>
        <w:rPr>
          <w:rFonts w:ascii="PT Astra Serif" w:hAnsi="PT Astra Serif"/>
          <w:sz w:val="28"/>
          <w:szCs w:val="28"/>
        </w:rPr>
        <w:br/>
      </w:r>
      <w:r w:rsidRPr="0069147C">
        <w:rPr>
          <w:rFonts w:ascii="PT Astra Serif" w:hAnsi="PT Astra Serif"/>
          <w:sz w:val="28"/>
          <w:szCs w:val="28"/>
        </w:rPr>
        <w:t>№ 743-п «Об утверждении государственной программы Волгоградской области «Развитие сельского хозяйства и регулирование рынков сельскохозяйственной продукции, сырья и продовольствия»;</w:t>
      </w:r>
    </w:p>
    <w:p w:rsidR="0069147C" w:rsidRDefault="0069147C" w:rsidP="006914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-</w:t>
      </w:r>
      <w:r w:rsidRPr="0069147C">
        <w:rPr>
          <w:rFonts w:ascii="PT Astra Serif" w:hAnsi="PT Astra Serif"/>
          <w:sz w:val="28"/>
          <w:szCs w:val="28"/>
        </w:rPr>
        <w:t xml:space="preserve"> постановление Администрации Курской области от 18.10.2013 № 744-па «Об утверждении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области».</w:t>
      </w:r>
    </w:p>
    <w:p w:rsidR="0076510A" w:rsidRPr="0086066E" w:rsidRDefault="0076510A" w:rsidP="007651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06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7D24C1" w:rsidRPr="0014771B" w:rsidRDefault="007D24C1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911F8" w:rsidRPr="00752178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52178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 w:rsidRPr="00752178">
        <w:rPr>
          <w:rFonts w:ascii="PT Astra Serif" w:hAnsi="PT Astra Serif"/>
          <w:b/>
          <w:sz w:val="28"/>
          <w:szCs w:val="28"/>
        </w:rPr>
        <w:t>прав</w:t>
      </w:r>
      <w:r w:rsidR="00EB4A2F" w:rsidRPr="00752178">
        <w:rPr>
          <w:rFonts w:ascii="PT Astra Serif" w:hAnsi="PT Astra Serif"/>
          <w:b/>
          <w:sz w:val="28"/>
          <w:szCs w:val="28"/>
        </w:rPr>
        <w:t>ового</w:t>
      </w:r>
      <w:r w:rsidRPr="00752178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752178">
        <w:rPr>
          <w:rFonts w:ascii="PT Astra Serif" w:hAnsi="PT Astra Serif"/>
          <w:b/>
          <w:sz w:val="28"/>
          <w:szCs w:val="28"/>
        </w:rPr>
        <w:t>.</w:t>
      </w:r>
    </w:p>
    <w:p w:rsidR="00362AE5" w:rsidRDefault="00FC19FA" w:rsidP="00FC19FA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Pr="00FC19FA">
        <w:rPr>
          <w:rFonts w:ascii="PT Astra Serif" w:hAnsi="PT Astra Serif"/>
          <w:sz w:val="28"/>
          <w:szCs w:val="28"/>
        </w:rPr>
        <w:t xml:space="preserve">на территории Ульяновской области отсутствуют племенные организации по птицеводству, </w:t>
      </w:r>
      <w:r w:rsidR="00752178">
        <w:rPr>
          <w:rFonts w:ascii="PT Astra Serif" w:hAnsi="PT Astra Serif"/>
          <w:sz w:val="28"/>
          <w:szCs w:val="28"/>
        </w:rPr>
        <w:t>как следствие</w:t>
      </w:r>
      <w:r w:rsidRPr="00FC19FA">
        <w:rPr>
          <w:rFonts w:ascii="PT Astra Serif" w:hAnsi="PT Astra Serif"/>
          <w:sz w:val="28"/>
          <w:szCs w:val="28"/>
        </w:rPr>
        <w:t>сельхоз</w:t>
      </w:r>
      <w:r>
        <w:rPr>
          <w:rFonts w:ascii="PT Astra Serif" w:hAnsi="PT Astra Serif"/>
          <w:sz w:val="28"/>
          <w:szCs w:val="28"/>
        </w:rPr>
        <w:t>яйственные</w:t>
      </w:r>
      <w:r w:rsidRPr="00FC19FA">
        <w:rPr>
          <w:rFonts w:ascii="PT Astra Serif" w:hAnsi="PT Astra Serif"/>
          <w:sz w:val="28"/>
          <w:szCs w:val="28"/>
        </w:rPr>
        <w:t>товаропроизводители региона вынуждены закупать инкубационное яйцо для вывода молодняка в других субъектах Российской Федерации. Про</w:t>
      </w:r>
      <w:r>
        <w:rPr>
          <w:rFonts w:ascii="PT Astra Serif" w:hAnsi="PT Astra Serif"/>
          <w:sz w:val="28"/>
          <w:szCs w:val="28"/>
        </w:rPr>
        <w:t>из</w:t>
      </w:r>
      <w:r w:rsidRPr="00FC19FA">
        <w:rPr>
          <w:rFonts w:ascii="PT Astra Serif" w:hAnsi="PT Astra Serif"/>
          <w:sz w:val="28"/>
          <w:szCs w:val="28"/>
        </w:rPr>
        <w:t xml:space="preserve">водить его силами только хозяйств является затратным, поэтому нужна государственная поддержка. </w:t>
      </w:r>
      <w:r>
        <w:rPr>
          <w:rFonts w:ascii="PT Astra Serif" w:hAnsi="PT Astra Serif"/>
          <w:sz w:val="28"/>
          <w:szCs w:val="28"/>
        </w:rPr>
        <w:t>Кроме того, отсутствие</w:t>
      </w:r>
      <w:r w:rsidRPr="00FC19FA">
        <w:rPr>
          <w:rFonts w:ascii="PT Astra Serif" w:hAnsi="PT Astra Serif"/>
          <w:sz w:val="28"/>
          <w:szCs w:val="28"/>
        </w:rPr>
        <w:t xml:space="preserve"> услови</w:t>
      </w:r>
      <w:r>
        <w:rPr>
          <w:rFonts w:ascii="PT Astra Serif" w:hAnsi="PT Astra Serif"/>
          <w:sz w:val="28"/>
          <w:szCs w:val="28"/>
        </w:rPr>
        <w:t>й</w:t>
      </w:r>
      <w:r w:rsidRPr="00FC19FA">
        <w:rPr>
          <w:rFonts w:ascii="PT Astra Serif" w:hAnsi="PT Astra Serif"/>
          <w:sz w:val="28"/>
          <w:szCs w:val="28"/>
        </w:rPr>
        <w:t xml:space="preserve"> для принятия сельскохозяйственными товаропроизводителями мер, направленных на увеличение производства крупного рогатого скота на убой, </w:t>
      </w:r>
      <w:r>
        <w:rPr>
          <w:rFonts w:ascii="PT Astra Serif" w:hAnsi="PT Astra Serif"/>
          <w:sz w:val="28"/>
          <w:szCs w:val="28"/>
        </w:rPr>
        <w:t>а также</w:t>
      </w:r>
      <w:r w:rsidRPr="00FC19FA">
        <w:rPr>
          <w:rFonts w:ascii="PT Astra Serif" w:hAnsi="PT Astra Serif"/>
          <w:sz w:val="28"/>
          <w:szCs w:val="28"/>
        </w:rPr>
        <w:t xml:space="preserve"> увеличение численности маточного поголовья мясного направления, сохранит тенденци</w:t>
      </w:r>
      <w:r>
        <w:rPr>
          <w:rFonts w:ascii="PT Astra Serif" w:hAnsi="PT Astra Serif"/>
          <w:sz w:val="28"/>
          <w:szCs w:val="28"/>
        </w:rPr>
        <w:t>ю</w:t>
      </w:r>
      <w:r w:rsidRPr="00FC19FA">
        <w:rPr>
          <w:rFonts w:ascii="PT Astra Serif" w:hAnsi="PT Astra Serif"/>
          <w:sz w:val="28"/>
          <w:szCs w:val="28"/>
        </w:rPr>
        <w:t xml:space="preserve"> роста численности крупного рогатого скота молочного направления и соответственно, производства молока, при существенном сокращении производства скота на убой.</w:t>
      </w:r>
    </w:p>
    <w:p w:rsidR="00752178" w:rsidRDefault="00752178" w:rsidP="007521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52178">
        <w:rPr>
          <w:rFonts w:ascii="PT Astra Serif" w:hAnsi="PT Astra Serif"/>
          <w:sz w:val="28"/>
          <w:szCs w:val="28"/>
        </w:rPr>
        <w:t xml:space="preserve">Проектом </w:t>
      </w:r>
      <w:r>
        <w:rPr>
          <w:rFonts w:ascii="PT Astra Serif" w:hAnsi="PT Astra Serif"/>
          <w:sz w:val="28"/>
          <w:szCs w:val="28"/>
        </w:rPr>
        <w:t>акта</w:t>
      </w:r>
      <w:r w:rsidRPr="00752178">
        <w:rPr>
          <w:rFonts w:ascii="PT Astra Serif" w:hAnsi="PT Astra Serif"/>
          <w:sz w:val="28"/>
          <w:szCs w:val="28"/>
        </w:rPr>
        <w:t xml:space="preserve"> предлагается установить правовое регулирование предоставления дополнительных мер региональной поддержки в области развития птицеводства и скотоводства.</w:t>
      </w:r>
      <w:r>
        <w:rPr>
          <w:rFonts w:ascii="PT Astra Serif" w:hAnsi="PT Astra Serif"/>
          <w:sz w:val="28"/>
          <w:szCs w:val="28"/>
        </w:rPr>
        <w:t>П</w:t>
      </w:r>
      <w:r w:rsidRPr="00752178">
        <w:rPr>
          <w:rFonts w:ascii="PT Astra Serif" w:hAnsi="PT Astra Serif"/>
          <w:sz w:val="28"/>
          <w:szCs w:val="28"/>
        </w:rPr>
        <w:t>остановление Правительства Ульяновской области от 06.03.2014 № 84-</w:t>
      </w:r>
      <w:r>
        <w:rPr>
          <w:rFonts w:ascii="PT Astra Serif" w:hAnsi="PT Astra Serif"/>
          <w:sz w:val="28"/>
          <w:szCs w:val="28"/>
        </w:rPr>
        <w:t xml:space="preserve">П </w:t>
      </w:r>
      <w:r w:rsidRPr="00752178">
        <w:rPr>
          <w:rFonts w:ascii="PT Astra Serif" w:hAnsi="PT Astra Serif"/>
          <w:sz w:val="28"/>
          <w:szCs w:val="28"/>
        </w:rPr>
        <w:t>дополня</w:t>
      </w:r>
      <w:r>
        <w:rPr>
          <w:rFonts w:ascii="PT Astra Serif" w:hAnsi="PT Astra Serif"/>
          <w:sz w:val="28"/>
          <w:szCs w:val="28"/>
        </w:rPr>
        <w:t>е</w:t>
      </w:r>
      <w:r w:rsidRPr="00752178">
        <w:rPr>
          <w:rFonts w:ascii="PT Astra Serif" w:hAnsi="PT Astra Serif"/>
          <w:sz w:val="28"/>
          <w:szCs w:val="28"/>
        </w:rPr>
        <w:t>тся условиями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</w:r>
      <w:r>
        <w:rPr>
          <w:rFonts w:ascii="PT Astra Serif" w:hAnsi="PT Astra Serif"/>
          <w:sz w:val="28"/>
          <w:szCs w:val="28"/>
        </w:rPr>
        <w:t xml:space="preserve"> с</w:t>
      </w:r>
      <w:r w:rsidRPr="00752178">
        <w:rPr>
          <w:rFonts w:ascii="PT Astra Serif" w:hAnsi="PT Astra Serif"/>
          <w:sz w:val="28"/>
          <w:szCs w:val="28"/>
        </w:rPr>
        <w:t xml:space="preserve"> приобретением яиц инкубационных куриных, развитием мясного скотоводства в связи с приобретением поголовья молодняка крупного рогатого скота (бычков); содержанием поголовья товарных коров мясного направления, от каждой из которых в отчётном году получен живой телёнок; производством крупного рогатого скота на убой в живом весе. </w:t>
      </w:r>
    </w:p>
    <w:p w:rsidR="00362AE5" w:rsidRDefault="00752178" w:rsidP="00752178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752178">
        <w:rPr>
          <w:rFonts w:ascii="PT Astra Serif" w:hAnsi="PT Astra Serif"/>
          <w:sz w:val="28"/>
          <w:szCs w:val="28"/>
        </w:rPr>
        <w:t>Предоставление субсидий позволит создать условия для стабильного комплектования родительского и промышленного стада кур птицеводческими хозяйствами, увеличения животноводческими хозяйствами поголовья откармливаемого молодняка крупного рогатого скота, прежде всего бычков, в том числе полученных от скрещивания коров молочного направления с быками мясных пород.</w:t>
      </w:r>
      <w:r>
        <w:rPr>
          <w:rFonts w:ascii="PT Astra Serif" w:hAnsi="PT Astra Serif"/>
          <w:sz w:val="28"/>
          <w:szCs w:val="28"/>
        </w:rPr>
        <w:t>Данные</w:t>
      </w:r>
      <w:r w:rsidRPr="00752178">
        <w:rPr>
          <w:rFonts w:ascii="PT Astra Serif" w:hAnsi="PT Astra Serif"/>
          <w:sz w:val="28"/>
          <w:szCs w:val="28"/>
        </w:rPr>
        <w:t xml:space="preserve"> меры </w:t>
      </w:r>
      <w:r>
        <w:rPr>
          <w:rFonts w:ascii="PT Astra Serif" w:hAnsi="PT Astra Serif"/>
          <w:sz w:val="28"/>
          <w:szCs w:val="28"/>
        </w:rPr>
        <w:t xml:space="preserve">государственной поддержки </w:t>
      </w:r>
      <w:r w:rsidRPr="00752178">
        <w:rPr>
          <w:rFonts w:ascii="PT Astra Serif" w:hAnsi="PT Astra Serif"/>
          <w:sz w:val="28"/>
          <w:szCs w:val="28"/>
        </w:rPr>
        <w:t>буд</w:t>
      </w:r>
      <w:r>
        <w:rPr>
          <w:rFonts w:ascii="PT Astra Serif" w:hAnsi="PT Astra Serif"/>
          <w:sz w:val="28"/>
          <w:szCs w:val="28"/>
        </w:rPr>
        <w:t>у</w:t>
      </w:r>
      <w:r w:rsidRPr="00752178">
        <w:rPr>
          <w:rFonts w:ascii="PT Astra Serif" w:hAnsi="PT Astra Serif"/>
          <w:sz w:val="28"/>
          <w:szCs w:val="28"/>
        </w:rPr>
        <w:t>т способствовать росту численности кур яичного и мясного направлений, крупного рогатого скота, особенно мясного направления, и как следствие приведут к увеличению объёмов производства птицеводческой продукции и реализации крупного рогатого скота на убой (в живом весе).</w:t>
      </w:r>
    </w:p>
    <w:p w:rsidR="005E5926" w:rsidRPr="005E5926" w:rsidRDefault="005E5926" w:rsidP="005E592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о</w:t>
      </w:r>
      <w:r w:rsidRPr="005E5926">
        <w:rPr>
          <w:rFonts w:ascii="PT Astra Serif" w:hAnsi="PT Astra Serif"/>
          <w:sz w:val="28"/>
          <w:szCs w:val="28"/>
        </w:rPr>
        <w:t xml:space="preserve">ценка эффективности предоставления субсидий будет проводиться по истечению финансового года, в котором предоставлялись субсидии, на основании представленных сельскохозяйственными товаропроизводителями отчётов о достижении значений результатов предоставления субсидий. Плановые значения таких результатов будут предусматриваться соглашением о предоставлении субсидии исходя из значений целевых индикаторов. </w:t>
      </w:r>
    </w:p>
    <w:p w:rsidR="002341BF" w:rsidRDefault="005E5926" w:rsidP="005E5926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5E5926">
        <w:rPr>
          <w:rFonts w:ascii="PT Astra Serif" w:hAnsi="PT Astra Serif"/>
          <w:sz w:val="28"/>
          <w:szCs w:val="28"/>
        </w:rPr>
        <w:t xml:space="preserve">В случае недостижения получателем субсидии одного или нескольких плановых значений результатов предоставления субсидии, установленных соглашением о предоставлении субсидии, перечисленная ему субсидия подлежит возврату в объёме, рассчитанном по формуле, установленной пунктом 22 проектной </w:t>
      </w:r>
      <w:r>
        <w:rPr>
          <w:rFonts w:ascii="PT Astra Serif" w:hAnsi="PT Astra Serif"/>
          <w:sz w:val="28"/>
          <w:szCs w:val="28"/>
        </w:rPr>
        <w:t>акта</w:t>
      </w:r>
      <w:r w:rsidRPr="005E5926">
        <w:rPr>
          <w:rFonts w:ascii="PT Astra Serif" w:hAnsi="PT Astra Serif"/>
          <w:sz w:val="28"/>
          <w:szCs w:val="28"/>
        </w:rPr>
        <w:t>.</w:t>
      </w:r>
    </w:p>
    <w:p w:rsidR="00E53C33" w:rsidRPr="00E53C33" w:rsidRDefault="00E53C33" w:rsidP="00E53C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3C33">
        <w:rPr>
          <w:rFonts w:ascii="PT Astra Serif" w:hAnsi="PT Astra Serif"/>
          <w:sz w:val="28"/>
          <w:szCs w:val="28"/>
        </w:rPr>
        <w:t xml:space="preserve">Финансирование </w:t>
      </w:r>
      <w:r>
        <w:rPr>
          <w:rFonts w:ascii="PT Astra Serif" w:hAnsi="PT Astra Serif"/>
          <w:sz w:val="28"/>
          <w:szCs w:val="28"/>
        </w:rPr>
        <w:t>рассматриваемого</w:t>
      </w:r>
      <w:r w:rsidRPr="00E53C33">
        <w:rPr>
          <w:rFonts w:ascii="PT Astra Serif" w:hAnsi="PT Astra Serif"/>
          <w:sz w:val="28"/>
          <w:szCs w:val="28"/>
        </w:rPr>
        <w:t xml:space="preserve"> проекта</w:t>
      </w:r>
      <w:r>
        <w:rPr>
          <w:rFonts w:ascii="PT Astra Serif" w:hAnsi="PT Astra Serif"/>
          <w:sz w:val="28"/>
          <w:szCs w:val="28"/>
        </w:rPr>
        <w:t xml:space="preserve"> акта</w:t>
      </w:r>
      <w:r w:rsidRPr="00E53C33">
        <w:rPr>
          <w:rFonts w:ascii="PT Astra Serif" w:hAnsi="PT Astra Serif"/>
          <w:sz w:val="28"/>
          <w:szCs w:val="28"/>
        </w:rPr>
        <w:t xml:space="preserve"> будет осуществляться за счёт бюджетных ассигнований областного бюджета Ульяновской области, предусмотренных подпрограммой «Развитие сельского хозяйства»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26/578-П, на реализацию мероприятия «Предоставление сельскохозяйственным товаропроизводителям субсидий в целях возмещения части их затрат, связанных с развитием свиноводства, птицеводства и скотоводства» в период с 2020 года по 2024 год в объёме 127319,464 тыс. рублей, из которых на 2020 год предусмотрено 33700,0 тыс. рублей.</w:t>
      </w:r>
    </w:p>
    <w:p w:rsidR="005E5926" w:rsidRDefault="00E53C33" w:rsidP="00E53C3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E53C33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 реализацию проекта не потребуется, финансирование будет осуществляться в пределах вышеуказанных лимитов бюджетных обязательств на предоставление субсидий, доведённых до Министерства агропромышленного комплекса и развития сельских территорий Ульяновской области как получателя средств областного бюджета Ульяновской области.</w:t>
      </w:r>
    </w:p>
    <w:p w:rsidR="005E5926" w:rsidRPr="00E53C33" w:rsidRDefault="00E53C33" w:rsidP="00FF46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3C33">
        <w:rPr>
          <w:rFonts w:ascii="PT Astra Serif" w:hAnsi="PT Astra Serif"/>
          <w:sz w:val="28"/>
          <w:szCs w:val="28"/>
        </w:rPr>
        <w:t xml:space="preserve">Вместе с тем, необходимо отметить, что </w:t>
      </w:r>
      <w:r>
        <w:rPr>
          <w:rFonts w:ascii="PT Astra Serif" w:hAnsi="PT Astra Serif"/>
          <w:sz w:val="28"/>
          <w:szCs w:val="28"/>
        </w:rPr>
        <w:t>проектом акта предусматривается, что о</w:t>
      </w:r>
      <w:r w:rsidRPr="00E53C33">
        <w:rPr>
          <w:rFonts w:ascii="PT Astra Serif" w:hAnsi="PT Astra Serif"/>
          <w:sz w:val="28"/>
          <w:szCs w:val="28"/>
        </w:rPr>
        <w:t>бъём субсидии, подлежащей предоставлению, не должен превышать фактических затрат сельскохозяйственного товаропроизводителя</w:t>
      </w:r>
      <w:r>
        <w:rPr>
          <w:rFonts w:ascii="PT Astra Serif" w:hAnsi="PT Astra Serif"/>
          <w:sz w:val="28"/>
          <w:szCs w:val="28"/>
        </w:rPr>
        <w:t>, т.е. максимальный возможный объём предоставляемой субсидии составляет 100% от уровня фактических затрат. При этом, исходя из практики, региональные порядки предоставления субсидий ограничивают максимальный размер предоставляемой субсидии на уровне 70-90% от фактически понесённых затрат. Считаем, что возмещение затрат на уровне 100% может способствовать снижению эффективности использования бюджетных средств</w:t>
      </w:r>
      <w:r w:rsidR="00C156F1">
        <w:rPr>
          <w:rFonts w:ascii="PT Astra Serif" w:hAnsi="PT Astra Serif"/>
          <w:sz w:val="28"/>
          <w:szCs w:val="28"/>
        </w:rPr>
        <w:t>, т.к. у заявителей снижается заинтересованность в поиске наиболее оптимального подхода к формированию затрат, а также сокращается количество потенциальных получателей субсидии. Кроме того, установление единого размера максимальной доли затрат, подлежащих возмещению за счёт субсидии, будет способствовать формированию паритетного подхода к предоставлению мер государственной поддержки.</w:t>
      </w:r>
    </w:p>
    <w:p w:rsidR="00DD5784" w:rsidRPr="00F458E9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458E9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F458E9">
        <w:rPr>
          <w:rFonts w:ascii="PT Astra Serif" w:hAnsi="PT Astra Serif"/>
          <w:sz w:val="28"/>
          <w:szCs w:val="28"/>
        </w:rPr>
        <w:t>тказ от</w:t>
      </w:r>
      <w:r w:rsidR="00243227" w:rsidRPr="00F458E9">
        <w:rPr>
          <w:rFonts w:ascii="PT Astra Serif" w:hAnsi="PT Astra Serif"/>
          <w:sz w:val="28"/>
          <w:szCs w:val="28"/>
        </w:rPr>
        <w:t> </w:t>
      </w:r>
      <w:r w:rsidR="001C68F9" w:rsidRPr="00F458E9">
        <w:rPr>
          <w:rFonts w:ascii="PT Astra Serif" w:hAnsi="PT Astra Serif"/>
          <w:sz w:val="28"/>
          <w:szCs w:val="28"/>
        </w:rPr>
        <w:t xml:space="preserve">рассматриваемого </w:t>
      </w:r>
      <w:r w:rsidR="00C156F1" w:rsidRPr="00F458E9">
        <w:rPr>
          <w:rFonts w:ascii="PT Astra Serif" w:hAnsi="PT Astra Serif"/>
          <w:sz w:val="28"/>
          <w:szCs w:val="28"/>
        </w:rPr>
        <w:t xml:space="preserve">правового </w:t>
      </w:r>
      <w:r w:rsidR="001C68F9" w:rsidRPr="00F458E9">
        <w:rPr>
          <w:rFonts w:ascii="PT Astra Serif" w:hAnsi="PT Astra Serif"/>
          <w:sz w:val="28"/>
          <w:szCs w:val="28"/>
        </w:rPr>
        <w:t>регулирования, т.е. сохранение ситуации «статус-кво»</w:t>
      </w:r>
      <w:r w:rsidRPr="00F458E9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FF4604" w:rsidRPr="00F458E9">
        <w:rPr>
          <w:rFonts w:ascii="PT Astra Serif" w:hAnsi="PT Astra Serif"/>
          <w:sz w:val="28"/>
          <w:szCs w:val="28"/>
        </w:rPr>
        <w:t xml:space="preserve">расширить перечень </w:t>
      </w:r>
      <w:r w:rsidR="00C156F1" w:rsidRPr="00F458E9">
        <w:rPr>
          <w:rFonts w:ascii="PT Astra Serif" w:hAnsi="PT Astra Serif"/>
          <w:sz w:val="28"/>
          <w:szCs w:val="28"/>
        </w:rPr>
        <w:t>мер государственной поддержки в виде</w:t>
      </w:r>
      <w:r w:rsidR="00F458E9" w:rsidRPr="00F458E9">
        <w:rPr>
          <w:rFonts w:ascii="PT Astra Serif" w:hAnsi="PT Astra Serif"/>
          <w:sz w:val="28"/>
          <w:szCs w:val="28"/>
        </w:rPr>
        <w:t xml:space="preserve">предоставления </w:t>
      </w:r>
      <w:r w:rsidR="00FF4604" w:rsidRPr="00F458E9">
        <w:rPr>
          <w:rFonts w:ascii="PT Astra Serif" w:hAnsi="PT Astra Serif"/>
          <w:sz w:val="28"/>
          <w:szCs w:val="28"/>
        </w:rPr>
        <w:t>субсидии из областного бюджета Ульяновской области, и, тем самым, оказать дополнительную поддержку</w:t>
      </w:r>
      <w:r w:rsidR="00C156F1" w:rsidRPr="00F458E9">
        <w:rPr>
          <w:rFonts w:ascii="PT Astra Serif" w:hAnsi="PT Astra Serif"/>
          <w:sz w:val="28"/>
          <w:szCs w:val="28"/>
        </w:rPr>
        <w:t>сельскохозяйственным товаропроизводителям</w:t>
      </w:r>
      <w:r w:rsidR="00306E49" w:rsidRPr="00F458E9">
        <w:rPr>
          <w:rFonts w:ascii="PT Astra Serif" w:hAnsi="PT Astra Serif"/>
          <w:sz w:val="28"/>
          <w:szCs w:val="28"/>
        </w:rPr>
        <w:t xml:space="preserve">, что </w:t>
      </w:r>
      <w:r w:rsidR="00C156F1" w:rsidRPr="00F458E9">
        <w:rPr>
          <w:rFonts w:ascii="PT Astra Serif" w:hAnsi="PT Astra Serif"/>
          <w:sz w:val="28"/>
          <w:szCs w:val="28"/>
        </w:rPr>
        <w:t xml:space="preserve">будет способствовать сохранению негативной тенденции в развитии </w:t>
      </w:r>
      <w:r w:rsidR="00F458E9" w:rsidRPr="00F458E9">
        <w:rPr>
          <w:rFonts w:ascii="PT Astra Serif" w:hAnsi="PT Astra Serif"/>
          <w:sz w:val="28"/>
          <w:szCs w:val="28"/>
        </w:rPr>
        <w:t xml:space="preserve">отраслей </w:t>
      </w:r>
      <w:r w:rsidR="00C156F1" w:rsidRPr="00F458E9">
        <w:rPr>
          <w:rFonts w:ascii="PT Astra Serif" w:hAnsi="PT Astra Serif"/>
          <w:sz w:val="28"/>
          <w:szCs w:val="28"/>
        </w:rPr>
        <w:t>птицеводства и скотоводства на территории Ульяновской об</w:t>
      </w:r>
      <w:r w:rsidR="00F458E9" w:rsidRPr="00F458E9">
        <w:rPr>
          <w:rFonts w:ascii="PT Astra Serif" w:hAnsi="PT Astra Serif"/>
          <w:sz w:val="28"/>
          <w:szCs w:val="28"/>
        </w:rPr>
        <w:t>ласти, а также сохранит ситуацию</w:t>
      </w:r>
      <w:r w:rsidR="00C156F1" w:rsidRPr="00F458E9">
        <w:rPr>
          <w:rFonts w:ascii="PT Astra Serif" w:hAnsi="PT Astra Serif"/>
          <w:sz w:val="28"/>
          <w:szCs w:val="28"/>
        </w:rPr>
        <w:t xml:space="preserve"> правовой неопределённости в </w:t>
      </w:r>
      <w:r w:rsidR="00F458E9" w:rsidRPr="00F458E9">
        <w:rPr>
          <w:rFonts w:ascii="PT Astra Serif" w:hAnsi="PT Astra Serif"/>
          <w:sz w:val="28"/>
          <w:szCs w:val="28"/>
        </w:rPr>
        <w:t>части</w:t>
      </w:r>
      <w:r w:rsidR="00C156F1" w:rsidRPr="00F458E9">
        <w:rPr>
          <w:rFonts w:ascii="PT Astra Serif" w:hAnsi="PT Astra Serif"/>
          <w:sz w:val="28"/>
          <w:szCs w:val="28"/>
        </w:rPr>
        <w:t xml:space="preserve"> предоставления субсидии, что ограничит право хозяйствующих субъектов на получение мер государственной поддержки.</w:t>
      </w:r>
    </w:p>
    <w:p w:rsidR="00E76905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2178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FF4604" w:rsidRPr="00752178">
        <w:rPr>
          <w:rFonts w:ascii="PT Astra Serif" w:hAnsi="PT Astra Serif"/>
          <w:sz w:val="28"/>
          <w:szCs w:val="28"/>
        </w:rPr>
        <w:t xml:space="preserve">правового </w:t>
      </w:r>
      <w:r w:rsidRPr="00752178">
        <w:rPr>
          <w:rFonts w:ascii="PT Astra Serif" w:hAnsi="PT Astra Serif"/>
          <w:sz w:val="28"/>
          <w:szCs w:val="28"/>
        </w:rPr>
        <w:t>регулирования.</w:t>
      </w:r>
    </w:p>
    <w:p w:rsidR="0014771B" w:rsidRPr="00D4714D" w:rsidRDefault="0014771B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045E3" w:rsidRPr="002045E3">
        <w:rPr>
          <w:rFonts w:ascii="PT Astra Serif" w:hAnsi="PT Astra Serif"/>
          <w:sz w:val="28"/>
          <w:szCs w:val="28"/>
        </w:rPr>
        <w:t>сельскохозяйственны</w:t>
      </w:r>
      <w:r w:rsidR="002045E3">
        <w:rPr>
          <w:rFonts w:ascii="PT Astra Serif" w:hAnsi="PT Astra Serif"/>
          <w:sz w:val="28"/>
          <w:szCs w:val="28"/>
        </w:rPr>
        <w:t>е</w:t>
      </w:r>
      <w:r w:rsidR="002045E3" w:rsidRPr="002045E3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2045E3">
        <w:rPr>
          <w:rFonts w:ascii="PT Astra Serif" w:hAnsi="PT Astra Serif"/>
          <w:sz w:val="28"/>
          <w:szCs w:val="28"/>
        </w:rPr>
        <w:t>и</w:t>
      </w:r>
      <w:r w:rsidR="002045E3" w:rsidRPr="002045E3">
        <w:rPr>
          <w:rFonts w:ascii="PT Astra Serif" w:hAnsi="PT Astra Serif"/>
          <w:sz w:val="28"/>
          <w:szCs w:val="28"/>
        </w:rPr>
        <w:t>, за исключением граждан, ведущих личное подсобное хозяйство</w:t>
      </w:r>
      <w:r w:rsidR="000B4C91">
        <w:rPr>
          <w:rFonts w:ascii="PT Astra Serif" w:hAnsi="PT Astra Serif"/>
          <w:sz w:val="28"/>
          <w:szCs w:val="28"/>
        </w:rPr>
        <w:t>.</w:t>
      </w:r>
    </w:p>
    <w:p w:rsidR="00EA3D9B" w:rsidRDefault="00EA3D9B" w:rsidP="00EA3D9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>
        <w:rPr>
          <w:rFonts w:ascii="PT Astra Serif" w:hAnsi="PT Astra Serif"/>
          <w:sz w:val="28"/>
          <w:szCs w:val="28"/>
        </w:rPr>
        <w:t>разработчиком акта представлена в таблице ниже.</w:t>
      </w:r>
    </w:p>
    <w:p w:rsidR="00EA3D9B" w:rsidRDefault="00EA3D9B" w:rsidP="00EA3D9B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7"/>
        <w:gridCol w:w="2391"/>
        <w:gridCol w:w="3499"/>
      </w:tblGrid>
      <w:tr w:rsidR="00EA3D9B" w:rsidRPr="0069468C" w:rsidTr="00D570D6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A3D9B" w:rsidRPr="0069468C" w:rsidTr="00D570D6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E3" w:rsidRPr="002045E3" w:rsidRDefault="002045E3" w:rsidP="002045E3">
            <w:pPr>
              <w:jc w:val="both"/>
              <w:rPr>
                <w:rFonts w:ascii="PT Astra Serif" w:hAnsi="PT Astra Serif"/>
              </w:rPr>
            </w:pPr>
            <w:r w:rsidRPr="002045E3">
              <w:rPr>
                <w:rFonts w:ascii="PT Astra Serif" w:hAnsi="PT Astra Serif"/>
              </w:rPr>
              <w:t>Сельскохозяйственные товаропроизводители</w:t>
            </w:r>
          </w:p>
          <w:p w:rsidR="002045E3" w:rsidRPr="002045E3" w:rsidRDefault="002045E3" w:rsidP="002045E3">
            <w:pPr>
              <w:jc w:val="both"/>
              <w:rPr>
                <w:rFonts w:ascii="PT Astra Serif" w:hAnsi="PT Astra Serif"/>
              </w:rPr>
            </w:pPr>
            <w:r w:rsidRPr="002045E3">
              <w:rPr>
                <w:rFonts w:ascii="PT Astra Serif" w:hAnsi="PT Astra Serif"/>
              </w:rPr>
              <w:t>(инкубационное яйцо куриное);</w:t>
            </w:r>
          </w:p>
          <w:p w:rsidR="00EA3D9B" w:rsidRPr="0069468C" w:rsidRDefault="002045E3" w:rsidP="002045E3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2045E3">
              <w:rPr>
                <w:rFonts w:ascii="PT Astra Serif" w:hAnsi="PT Astra Serif"/>
              </w:rPr>
              <w:t>развитие мясного скотоводства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Default="00EA3D9B" w:rsidP="00D570D6">
            <w:pPr>
              <w:jc w:val="center"/>
              <w:rPr>
                <w:rFonts w:ascii="PT Astra Serif" w:hAnsi="PT Astra Serif"/>
              </w:rPr>
            </w:pPr>
          </w:p>
          <w:p w:rsidR="002045E3" w:rsidRDefault="002045E3" w:rsidP="00D570D6">
            <w:pPr>
              <w:jc w:val="center"/>
              <w:rPr>
                <w:rFonts w:ascii="PT Astra Serif" w:hAnsi="PT Astra Serif"/>
              </w:rPr>
            </w:pPr>
          </w:p>
          <w:p w:rsidR="002045E3" w:rsidRDefault="002045E3" w:rsidP="00D570D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  <w:p w:rsidR="002045E3" w:rsidRPr="0069468C" w:rsidRDefault="002045E3" w:rsidP="00D570D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Default="00EA3D9B" w:rsidP="000B4C91">
            <w:pPr>
              <w:jc w:val="center"/>
              <w:rPr>
                <w:rFonts w:ascii="PT Astra Serif" w:hAnsi="PT Astra Serif"/>
              </w:rPr>
            </w:pPr>
          </w:p>
          <w:p w:rsidR="002045E3" w:rsidRDefault="002045E3" w:rsidP="000B4C91">
            <w:pPr>
              <w:jc w:val="center"/>
              <w:rPr>
                <w:rFonts w:ascii="PT Astra Serif" w:hAnsi="PT Astra Serif"/>
              </w:rPr>
            </w:pPr>
          </w:p>
          <w:p w:rsidR="002045E3" w:rsidRDefault="002045E3" w:rsidP="000B4C9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  <w:p w:rsidR="002045E3" w:rsidRPr="0069468C" w:rsidRDefault="002045E3" w:rsidP="000B4C9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</w:tr>
    </w:tbl>
    <w:p w:rsidR="0014771B" w:rsidRDefault="0014771B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0B4C91" w:rsidRDefault="000B4C91" w:rsidP="000B4C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4C91">
        <w:rPr>
          <w:rFonts w:ascii="PT Astra Serif" w:hAnsi="PT Astra Serif"/>
          <w:sz w:val="28"/>
          <w:szCs w:val="28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области,и признании утратившими силу отдельных постановлений (отдельного положения постановления) Правительства Ульяновской области».</w:t>
      </w:r>
    </w:p>
    <w:p w:rsidR="000B4C91" w:rsidRPr="000B4C91" w:rsidRDefault="000B4C91" w:rsidP="000B4C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4C91">
        <w:rPr>
          <w:rFonts w:ascii="PT Astra Serif" w:hAnsi="PT Astra Serif"/>
          <w:sz w:val="28"/>
          <w:szCs w:val="28"/>
        </w:rPr>
        <w:t xml:space="preserve">В рамках публичных обсуждений, разработчиком акта проект акта и сводный отчёт были размещены с </w:t>
      </w:r>
      <w:r w:rsidR="0014771B">
        <w:rPr>
          <w:rFonts w:ascii="PT Astra Serif" w:hAnsi="PT Astra Serif"/>
          <w:sz w:val="28"/>
          <w:szCs w:val="28"/>
        </w:rPr>
        <w:t>31</w:t>
      </w:r>
      <w:r w:rsidRPr="000B4C91">
        <w:rPr>
          <w:rFonts w:ascii="PT Astra Serif" w:hAnsi="PT Astra Serif"/>
          <w:sz w:val="28"/>
          <w:szCs w:val="28"/>
        </w:rPr>
        <w:t>.0</w:t>
      </w:r>
      <w:r w:rsidR="0014771B">
        <w:rPr>
          <w:rFonts w:ascii="PT Astra Serif" w:hAnsi="PT Astra Serif"/>
          <w:sz w:val="28"/>
          <w:szCs w:val="28"/>
        </w:rPr>
        <w:t>7</w:t>
      </w:r>
      <w:r w:rsidRPr="000B4C91">
        <w:rPr>
          <w:rFonts w:ascii="PT Astra Serif" w:hAnsi="PT Astra Serif"/>
          <w:sz w:val="28"/>
          <w:szCs w:val="28"/>
        </w:rPr>
        <w:t xml:space="preserve">.2020 по </w:t>
      </w:r>
      <w:r w:rsidR="0014771B">
        <w:rPr>
          <w:rFonts w:ascii="PT Astra Serif" w:hAnsi="PT Astra Serif"/>
          <w:sz w:val="28"/>
          <w:szCs w:val="28"/>
        </w:rPr>
        <w:t>14</w:t>
      </w:r>
      <w:r w:rsidRPr="000B4C91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0B4C91">
        <w:rPr>
          <w:rFonts w:ascii="PT Astra Serif" w:hAnsi="PT Astra Serif"/>
          <w:sz w:val="28"/>
          <w:szCs w:val="28"/>
        </w:rPr>
        <w:t>.2020 на специализированном ресурсе для проведения публичных обсуждений http://regulation.ulgov.ru.</w:t>
      </w:r>
    </w:p>
    <w:p w:rsidR="000B4C91" w:rsidRPr="000B4C91" w:rsidRDefault="000B4C91" w:rsidP="000B4C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4C91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</w:p>
    <w:p w:rsidR="000B4C91" w:rsidRDefault="000B4C91" w:rsidP="000B4C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4C91"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0B4C91" w:rsidRDefault="000B4C91" w:rsidP="00EA3D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4771B" w:rsidRPr="00D4714D" w:rsidRDefault="0014771B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При этом считаем целесообразным разработчику акта рассмотреть указанные предложения.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>Ульяновской области                                      Ю.В.Казаков</w:t>
      </w:r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Default="00595D13" w:rsidP="004F44D2">
      <w:pPr>
        <w:jc w:val="both"/>
        <w:rPr>
          <w:rFonts w:ascii="PT Astra Serif" w:hAnsi="PT Astra Serif"/>
          <w:sz w:val="20"/>
          <w:szCs w:val="20"/>
        </w:rPr>
      </w:pPr>
    </w:p>
    <w:p w:rsidR="00306E49" w:rsidRDefault="00306E49" w:rsidP="004F44D2">
      <w:pPr>
        <w:jc w:val="both"/>
        <w:rPr>
          <w:rFonts w:ascii="PT Astra Serif" w:hAnsi="PT Astra Serif"/>
          <w:sz w:val="20"/>
          <w:szCs w:val="20"/>
        </w:rPr>
      </w:pPr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0B4C91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</w:t>
      </w:r>
      <w:r w:rsidR="000B4C91">
        <w:rPr>
          <w:rFonts w:ascii="PT Astra Serif" w:hAnsi="PT Astra Serif"/>
          <w:sz w:val="20"/>
          <w:szCs w:val="20"/>
        </w:rPr>
        <w:t>95</w:t>
      </w:r>
    </w:p>
    <w:sectPr w:rsidR="005216D2" w:rsidRPr="00D4714D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20" w:rsidRDefault="00EB0420">
      <w:r>
        <w:separator/>
      </w:r>
    </w:p>
  </w:endnote>
  <w:endnote w:type="continuationSeparator" w:id="1">
    <w:p w:rsidR="00EB0420" w:rsidRDefault="00EB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20" w:rsidRDefault="00EB0420">
      <w:r>
        <w:separator/>
      </w:r>
    </w:p>
  </w:footnote>
  <w:footnote w:type="continuationSeparator" w:id="1">
    <w:p w:rsidR="00EB0420" w:rsidRDefault="00EB0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7A" w:rsidRDefault="0042118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7A" w:rsidRDefault="0042118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2F15">
      <w:rPr>
        <w:rStyle w:val="a7"/>
        <w:noProof/>
      </w:rPr>
      <w:t>8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6CD5"/>
    <w:rsid w:val="00077072"/>
    <w:rsid w:val="000775DF"/>
    <w:rsid w:val="00077A16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C91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71B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5DC1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5E3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1BF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4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C78E6"/>
    <w:rsid w:val="002D00A1"/>
    <w:rsid w:val="002D160E"/>
    <w:rsid w:val="002D180F"/>
    <w:rsid w:val="002D1BF4"/>
    <w:rsid w:val="002D26A8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5141"/>
    <w:rsid w:val="003052FB"/>
    <w:rsid w:val="00305487"/>
    <w:rsid w:val="003058ED"/>
    <w:rsid w:val="0030641C"/>
    <w:rsid w:val="00306B75"/>
    <w:rsid w:val="00306E49"/>
    <w:rsid w:val="0030715B"/>
    <w:rsid w:val="00307E82"/>
    <w:rsid w:val="0031005A"/>
    <w:rsid w:val="00311587"/>
    <w:rsid w:val="003115FF"/>
    <w:rsid w:val="0031210F"/>
    <w:rsid w:val="00313121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4603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2AE5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77173"/>
    <w:rsid w:val="00377BA5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533C"/>
    <w:rsid w:val="003F7449"/>
    <w:rsid w:val="003F75F8"/>
    <w:rsid w:val="003F798A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185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6FE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5648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4E6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592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4E3B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9EF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47C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4E94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44E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178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510A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1217"/>
    <w:rsid w:val="007D24C1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066E"/>
    <w:rsid w:val="00861550"/>
    <w:rsid w:val="00861E80"/>
    <w:rsid w:val="00862F15"/>
    <w:rsid w:val="00863C69"/>
    <w:rsid w:val="00863D6A"/>
    <w:rsid w:val="008640FF"/>
    <w:rsid w:val="00864C36"/>
    <w:rsid w:val="00864FEA"/>
    <w:rsid w:val="00865631"/>
    <w:rsid w:val="00865713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6C5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3029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177A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6F1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20DF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2BE8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0AAD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C33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3D9B"/>
    <w:rsid w:val="00EA64D6"/>
    <w:rsid w:val="00EA77F5"/>
    <w:rsid w:val="00EA78BD"/>
    <w:rsid w:val="00EB0420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8E9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6A0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9FA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4604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5097-9D02-4882-BAD3-8B218C41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20067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Olga Brenduk</cp:lastModifiedBy>
  <cp:revision>2</cp:revision>
  <cp:lastPrinted>2020-04-20T10:14:00Z</cp:lastPrinted>
  <dcterms:created xsi:type="dcterms:W3CDTF">2020-09-15T11:56:00Z</dcterms:created>
  <dcterms:modified xsi:type="dcterms:W3CDTF">2020-09-15T11:56:00Z</dcterms:modified>
</cp:coreProperties>
</file>