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67ABC" w:rsidRPr="00D4714D" w:rsidRDefault="00463CA1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>О внесении изменений в</w:t>
      </w:r>
      <w:r w:rsidR="00094C03" w:rsidRPr="00D4714D">
        <w:rPr>
          <w:rFonts w:ascii="PT Astra Serif" w:hAnsi="PT Astra Serif"/>
          <w:b/>
          <w:sz w:val="28"/>
          <w:szCs w:val="28"/>
        </w:rPr>
        <w:t> 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D4714D" w:rsidRDefault="00C67ABC" w:rsidP="00C67ABC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от </w:t>
      </w:r>
      <w:r w:rsidR="001F42C1">
        <w:rPr>
          <w:rFonts w:ascii="PT Astra Serif" w:hAnsi="PT Astra Serif"/>
          <w:b/>
          <w:sz w:val="28"/>
          <w:szCs w:val="28"/>
        </w:rPr>
        <w:t>12</w:t>
      </w:r>
      <w:r w:rsidRPr="00D4714D">
        <w:rPr>
          <w:rFonts w:ascii="PT Astra Serif" w:hAnsi="PT Astra Serif"/>
          <w:b/>
          <w:sz w:val="28"/>
          <w:szCs w:val="28"/>
        </w:rPr>
        <w:t>.</w:t>
      </w:r>
      <w:r w:rsidR="009F0772">
        <w:rPr>
          <w:rFonts w:ascii="PT Astra Serif" w:hAnsi="PT Astra Serif"/>
          <w:b/>
          <w:sz w:val="28"/>
          <w:szCs w:val="28"/>
        </w:rPr>
        <w:t>05</w:t>
      </w:r>
      <w:r w:rsidRPr="00D4714D">
        <w:rPr>
          <w:rFonts w:ascii="PT Astra Serif" w:hAnsi="PT Astra Serif"/>
          <w:b/>
          <w:sz w:val="28"/>
          <w:szCs w:val="28"/>
        </w:rPr>
        <w:t>.201</w:t>
      </w:r>
      <w:r w:rsidR="001F42C1">
        <w:rPr>
          <w:rFonts w:ascii="PT Astra Serif" w:hAnsi="PT Astra Serif"/>
          <w:b/>
          <w:sz w:val="28"/>
          <w:szCs w:val="28"/>
        </w:rPr>
        <w:t>5</w:t>
      </w:r>
      <w:r w:rsidRPr="00D4714D">
        <w:rPr>
          <w:rFonts w:ascii="PT Astra Serif" w:hAnsi="PT Astra Serif"/>
          <w:b/>
          <w:sz w:val="28"/>
          <w:szCs w:val="28"/>
        </w:rPr>
        <w:t xml:space="preserve"> № </w:t>
      </w:r>
      <w:r w:rsidR="001F42C1">
        <w:rPr>
          <w:rFonts w:ascii="PT Astra Serif" w:hAnsi="PT Astra Serif"/>
          <w:b/>
          <w:sz w:val="28"/>
          <w:szCs w:val="28"/>
        </w:rPr>
        <w:t>190</w:t>
      </w:r>
      <w:r w:rsidRPr="00D4714D">
        <w:rPr>
          <w:rFonts w:ascii="PT Astra Serif" w:hAnsi="PT Astra Serif"/>
          <w:b/>
          <w:sz w:val="28"/>
          <w:szCs w:val="28"/>
        </w:rPr>
        <w:t>-П</w:t>
      </w:r>
      <w:r w:rsidR="001F42C1">
        <w:rPr>
          <w:rFonts w:ascii="PT Astra Serif" w:hAnsi="PT Astra Serif"/>
          <w:b/>
          <w:sz w:val="28"/>
          <w:szCs w:val="28"/>
        </w:rPr>
        <w:t xml:space="preserve"> и признании </w:t>
      </w:r>
      <w:proofErr w:type="gramStart"/>
      <w:r w:rsidR="001F42C1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1F42C1">
        <w:rPr>
          <w:rFonts w:ascii="PT Astra Serif" w:hAnsi="PT Astra Serif"/>
          <w:b/>
          <w:sz w:val="28"/>
          <w:szCs w:val="28"/>
        </w:rPr>
        <w:t xml:space="preserve"> силу отдельных положений постановлений Правительства Ульяновской области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 xml:space="preserve">аконом Ульяновской области от 05.11.2013 № 201-ЗО «О порядке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 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«О внесении изменений в постановление Правительства Ульяновской области от </w:t>
      </w:r>
      <w:r w:rsidR="001F42C1">
        <w:rPr>
          <w:rFonts w:ascii="PT Astra Serif" w:hAnsi="PT Astra Serif"/>
          <w:sz w:val="28"/>
          <w:szCs w:val="28"/>
        </w:rPr>
        <w:t>12</w:t>
      </w:r>
      <w:r w:rsidR="00803A3E">
        <w:rPr>
          <w:rFonts w:ascii="PT Astra Serif" w:hAnsi="PT Astra Serif"/>
          <w:sz w:val="28"/>
          <w:szCs w:val="28"/>
        </w:rPr>
        <w:t>.</w:t>
      </w:r>
      <w:r w:rsidR="009F0772">
        <w:rPr>
          <w:rFonts w:ascii="PT Astra Serif" w:hAnsi="PT Astra Serif"/>
          <w:sz w:val="28"/>
          <w:szCs w:val="28"/>
        </w:rPr>
        <w:t>05</w:t>
      </w:r>
      <w:r w:rsidR="00803A3E">
        <w:rPr>
          <w:rFonts w:ascii="PT Astra Serif" w:hAnsi="PT Astra Serif"/>
          <w:sz w:val="28"/>
          <w:szCs w:val="28"/>
        </w:rPr>
        <w:t>.201</w:t>
      </w:r>
      <w:r w:rsidR="001F42C1">
        <w:rPr>
          <w:rFonts w:ascii="PT Astra Serif" w:hAnsi="PT Astra Serif"/>
          <w:sz w:val="28"/>
          <w:szCs w:val="28"/>
        </w:rPr>
        <w:t>5</w:t>
      </w:r>
      <w:r w:rsidR="00803A3E">
        <w:rPr>
          <w:rFonts w:ascii="PT Astra Serif" w:hAnsi="PT Astra Serif"/>
          <w:sz w:val="28"/>
          <w:szCs w:val="28"/>
        </w:rPr>
        <w:t xml:space="preserve"> № </w:t>
      </w:r>
      <w:r w:rsidR="001F42C1">
        <w:rPr>
          <w:rFonts w:ascii="PT Astra Serif" w:hAnsi="PT Astra Serif"/>
          <w:sz w:val="28"/>
          <w:szCs w:val="28"/>
        </w:rPr>
        <w:t>190</w:t>
      </w:r>
      <w:r w:rsidR="00803A3E">
        <w:rPr>
          <w:rFonts w:ascii="PT Astra Serif" w:hAnsi="PT Astra Serif"/>
          <w:sz w:val="28"/>
          <w:szCs w:val="28"/>
        </w:rPr>
        <w:t>-П</w:t>
      </w:r>
      <w:r w:rsidR="001F42C1">
        <w:rPr>
          <w:rFonts w:ascii="PT Astra Serif" w:hAnsi="PT Astra Serif"/>
          <w:sz w:val="28"/>
          <w:szCs w:val="28"/>
        </w:rPr>
        <w:t xml:space="preserve"> и признании утратившими силу отдельных положений постановлений Правительства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9F0772">
        <w:rPr>
          <w:rFonts w:ascii="PT Astra Serif" w:hAnsi="PT Astra Serif"/>
          <w:sz w:val="28"/>
          <w:szCs w:val="28"/>
        </w:rPr>
        <w:t xml:space="preserve">Министерством </w:t>
      </w:r>
      <w:r w:rsidR="001F42C1">
        <w:rPr>
          <w:rFonts w:ascii="PT Astra Serif" w:hAnsi="PT Astra Serif"/>
          <w:sz w:val="28"/>
          <w:szCs w:val="28"/>
        </w:rPr>
        <w:t>семейной, демографической политики и социального</w:t>
      </w:r>
      <w:proofErr w:type="gramEnd"/>
      <w:r w:rsidR="001F42C1">
        <w:rPr>
          <w:rFonts w:ascii="PT Astra Serif" w:hAnsi="PT Astra Serif"/>
          <w:sz w:val="28"/>
          <w:szCs w:val="28"/>
        </w:rPr>
        <w:t xml:space="preserve"> благополучия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F42C1" w:rsidRDefault="001F42C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96525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 </w:t>
      </w:r>
      <w:r w:rsidR="009138E6">
        <w:rPr>
          <w:rFonts w:ascii="PT Astra Serif" w:hAnsi="PT Astra Serif"/>
          <w:sz w:val="28"/>
          <w:szCs w:val="28"/>
        </w:rPr>
        <w:t xml:space="preserve">в целях реализации </w:t>
      </w:r>
      <w:r w:rsidR="001F42C1">
        <w:rPr>
          <w:rFonts w:ascii="PT Astra Serif" w:hAnsi="PT Astra Serif"/>
          <w:sz w:val="28"/>
          <w:szCs w:val="28"/>
        </w:rPr>
        <w:t>Закона Ульяновской области от 29.09.2015 № 132-ЗО «О мерах социальной поддержки отдельных категорий граждан в Ульяновской области»</w:t>
      </w:r>
      <w:r w:rsidR="00C92C7C">
        <w:rPr>
          <w:rFonts w:ascii="PT Astra Serif" w:hAnsi="PT Astra Serif"/>
          <w:sz w:val="28"/>
          <w:szCs w:val="28"/>
        </w:rPr>
        <w:t xml:space="preserve"> </w:t>
      </w:r>
      <w:r w:rsidR="00011D0D" w:rsidRPr="00D4714D">
        <w:rPr>
          <w:rFonts w:ascii="PT Astra Serif" w:hAnsi="PT Astra Serif"/>
          <w:sz w:val="28"/>
          <w:szCs w:val="28"/>
        </w:rPr>
        <w:t>и</w:t>
      </w:r>
      <w:r w:rsidR="0031005A">
        <w:rPr>
          <w:rFonts w:ascii="PT Astra Serif" w:hAnsi="PT Astra Serif"/>
          <w:sz w:val="28"/>
          <w:szCs w:val="28"/>
        </w:rPr>
        <w:t xml:space="preserve"> </w:t>
      </w:r>
      <w:r w:rsidR="00190C06" w:rsidRPr="00D4714D">
        <w:rPr>
          <w:rFonts w:ascii="PT Astra Serif" w:hAnsi="PT Astra Serif"/>
          <w:sz w:val="28"/>
          <w:szCs w:val="28"/>
        </w:rPr>
        <w:t>направлен на</w:t>
      </w:r>
      <w:r w:rsidR="009D0CE8">
        <w:rPr>
          <w:rFonts w:ascii="PT Astra Serif" w:hAnsi="PT Astra Serif"/>
          <w:sz w:val="28"/>
          <w:szCs w:val="28"/>
        </w:rPr>
        <w:t xml:space="preserve"> </w:t>
      </w:r>
      <w:r w:rsidR="001F42C1">
        <w:rPr>
          <w:rFonts w:ascii="PT Astra Serif" w:hAnsi="PT Astra Serif"/>
          <w:sz w:val="28"/>
          <w:szCs w:val="28"/>
        </w:rPr>
        <w:t xml:space="preserve">обеспечение доступности транспортных услуг </w:t>
      </w:r>
      <w:r w:rsidR="00C92C7C">
        <w:rPr>
          <w:rFonts w:ascii="PT Astra Serif" w:hAnsi="PT Astra Serif"/>
          <w:sz w:val="28"/>
          <w:szCs w:val="28"/>
        </w:rPr>
        <w:t>на территории</w:t>
      </w:r>
      <w:r w:rsidR="00FA715F">
        <w:rPr>
          <w:rFonts w:ascii="PT Astra Serif" w:hAnsi="PT Astra Serif"/>
          <w:sz w:val="28"/>
          <w:szCs w:val="28"/>
        </w:rPr>
        <w:t xml:space="preserve"> </w:t>
      </w:r>
      <w:r w:rsidR="009D0CE8">
        <w:rPr>
          <w:rFonts w:ascii="PT Astra Serif" w:hAnsi="PT Astra Serif"/>
          <w:sz w:val="28"/>
          <w:szCs w:val="28"/>
        </w:rPr>
        <w:t>Ульяновской области</w:t>
      </w:r>
      <w:r w:rsidR="001F42C1">
        <w:rPr>
          <w:rFonts w:ascii="PT Astra Serif" w:hAnsi="PT Astra Serif"/>
          <w:sz w:val="28"/>
          <w:szCs w:val="28"/>
        </w:rPr>
        <w:t xml:space="preserve"> для отдельных категорий граждан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1F42C1">
        <w:rPr>
          <w:rFonts w:ascii="PT Astra Serif" w:hAnsi="PT Astra Serif"/>
          <w:sz w:val="28"/>
          <w:szCs w:val="28"/>
        </w:rPr>
        <w:t>12</w:t>
      </w:r>
      <w:r w:rsidR="00907324" w:rsidRPr="00D4714D">
        <w:rPr>
          <w:rFonts w:ascii="PT Astra Serif" w:hAnsi="PT Astra Serif"/>
          <w:sz w:val="28"/>
          <w:szCs w:val="28"/>
        </w:rPr>
        <w:t>.</w:t>
      </w:r>
      <w:r w:rsidR="00C92C7C">
        <w:rPr>
          <w:rFonts w:ascii="PT Astra Serif" w:hAnsi="PT Astra Serif"/>
          <w:sz w:val="28"/>
          <w:szCs w:val="28"/>
        </w:rPr>
        <w:t>05</w:t>
      </w:r>
      <w:r w:rsidR="00907324" w:rsidRPr="00D4714D">
        <w:rPr>
          <w:rFonts w:ascii="PT Astra Serif" w:hAnsi="PT Astra Serif"/>
          <w:sz w:val="28"/>
          <w:szCs w:val="28"/>
        </w:rPr>
        <w:t>.201</w:t>
      </w:r>
      <w:r w:rsidR="001F42C1">
        <w:rPr>
          <w:rFonts w:ascii="PT Astra Serif" w:hAnsi="PT Astra Serif"/>
          <w:sz w:val="28"/>
          <w:szCs w:val="28"/>
        </w:rPr>
        <w:t>5</w:t>
      </w:r>
      <w:r w:rsidR="00907324" w:rsidRPr="00D4714D">
        <w:rPr>
          <w:rFonts w:ascii="PT Astra Serif" w:hAnsi="PT Astra Serif"/>
          <w:sz w:val="28"/>
          <w:szCs w:val="28"/>
        </w:rPr>
        <w:t xml:space="preserve"> № </w:t>
      </w:r>
      <w:r w:rsidR="001F42C1">
        <w:rPr>
          <w:rFonts w:ascii="PT Astra Serif" w:hAnsi="PT Astra Serif"/>
          <w:sz w:val="28"/>
          <w:szCs w:val="28"/>
        </w:rPr>
        <w:t>190</w:t>
      </w:r>
      <w:r w:rsidR="00907324" w:rsidRPr="00D4714D">
        <w:rPr>
          <w:rFonts w:ascii="PT Astra Serif" w:hAnsi="PT Astra Serif"/>
          <w:sz w:val="28"/>
          <w:szCs w:val="28"/>
        </w:rPr>
        <w:t>-П «</w:t>
      </w:r>
      <w:r w:rsidR="001F42C1">
        <w:rPr>
          <w:rFonts w:ascii="PT Astra Serif" w:hAnsi="PT Astra Serif"/>
          <w:sz w:val="28"/>
          <w:szCs w:val="28"/>
        </w:rPr>
        <w:t>Об организации перевозок отдельных категорий граждан на общественном транспорте на территории Ульяновской области</w:t>
      </w:r>
      <w:r w:rsidR="00907324" w:rsidRPr="00D4714D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="00775B3C">
        <w:rPr>
          <w:rFonts w:ascii="PT Astra Serif" w:hAnsi="PT Astra Serif"/>
          <w:sz w:val="28"/>
          <w:szCs w:val="28"/>
        </w:rPr>
        <w:t> </w:t>
      </w:r>
      <w:r w:rsidR="001F42C1">
        <w:rPr>
          <w:rFonts w:ascii="PT Astra Serif" w:hAnsi="PT Astra Serif"/>
          <w:sz w:val="28"/>
          <w:szCs w:val="28"/>
        </w:rPr>
        <w:t>12</w:t>
      </w:r>
      <w:r w:rsidR="00AC5D8F" w:rsidRPr="00D4714D">
        <w:rPr>
          <w:rFonts w:ascii="PT Astra Serif" w:hAnsi="PT Astra Serif"/>
          <w:sz w:val="28"/>
          <w:szCs w:val="28"/>
        </w:rPr>
        <w:t>.</w:t>
      </w:r>
      <w:r w:rsidR="00C92C7C">
        <w:rPr>
          <w:rFonts w:ascii="PT Astra Serif" w:hAnsi="PT Astra Serif"/>
          <w:sz w:val="28"/>
          <w:szCs w:val="28"/>
        </w:rPr>
        <w:t>05</w:t>
      </w:r>
      <w:r w:rsidR="00AC5D8F" w:rsidRPr="00D4714D">
        <w:rPr>
          <w:rFonts w:ascii="PT Astra Serif" w:hAnsi="PT Astra Serif"/>
          <w:sz w:val="28"/>
          <w:szCs w:val="28"/>
        </w:rPr>
        <w:t>.201</w:t>
      </w:r>
      <w:r w:rsidR="001F42C1">
        <w:rPr>
          <w:rFonts w:ascii="PT Astra Serif" w:hAnsi="PT Astra Serif"/>
          <w:sz w:val="28"/>
          <w:szCs w:val="28"/>
        </w:rPr>
        <w:t>5</w:t>
      </w:r>
      <w:r w:rsidR="00AC5D8F" w:rsidRPr="00D4714D">
        <w:rPr>
          <w:rFonts w:ascii="PT Astra Serif" w:hAnsi="PT Astra Serif"/>
          <w:sz w:val="28"/>
          <w:szCs w:val="28"/>
        </w:rPr>
        <w:t xml:space="preserve"> № </w:t>
      </w:r>
      <w:r w:rsidR="001F42C1">
        <w:rPr>
          <w:rFonts w:ascii="PT Astra Serif" w:hAnsi="PT Astra Serif"/>
          <w:sz w:val="28"/>
          <w:szCs w:val="28"/>
        </w:rPr>
        <w:t>190</w:t>
      </w:r>
      <w:r w:rsidR="00AC5D8F" w:rsidRPr="00D4714D">
        <w:rPr>
          <w:rFonts w:ascii="PT Astra Serif" w:hAnsi="PT Astra Serif"/>
          <w:sz w:val="28"/>
          <w:szCs w:val="28"/>
        </w:rPr>
        <w:t xml:space="preserve">-П) </w:t>
      </w:r>
      <w:r w:rsidR="00907324" w:rsidRPr="00D4714D">
        <w:rPr>
          <w:rFonts w:ascii="PT Astra Serif" w:hAnsi="PT Astra Serif"/>
          <w:sz w:val="28"/>
          <w:szCs w:val="28"/>
        </w:rPr>
        <w:t>в</w:t>
      </w:r>
      <w:r w:rsidR="0064645C">
        <w:rPr>
          <w:rFonts w:ascii="PT Astra Serif" w:hAnsi="PT Astra Serif"/>
          <w:sz w:val="28"/>
          <w:szCs w:val="28"/>
        </w:rPr>
        <w:t> </w:t>
      </w:r>
      <w:r w:rsidR="00907324" w:rsidRPr="00D4714D">
        <w:rPr>
          <w:rFonts w:ascii="PT Astra Serif" w:hAnsi="PT Astra Serif"/>
          <w:sz w:val="28"/>
          <w:szCs w:val="28"/>
        </w:rPr>
        <w:t>части:</w:t>
      </w:r>
    </w:p>
    <w:p w:rsidR="004E75A7" w:rsidRPr="004E75A7" w:rsidRDefault="004E75A7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</w:t>
      </w:r>
      <w:r w:rsidR="00361744">
        <w:rPr>
          <w:rFonts w:ascii="PT Astra Serif" w:hAnsi="PT Astra Serif"/>
          <w:sz w:val="28"/>
          <w:szCs w:val="28"/>
        </w:rPr>
        <w:t xml:space="preserve"> </w:t>
      </w:r>
      <w:r w:rsidR="00123D53">
        <w:rPr>
          <w:rFonts w:ascii="PT Astra Serif" w:hAnsi="PT Astra Serif"/>
          <w:sz w:val="28"/>
          <w:szCs w:val="28"/>
        </w:rPr>
        <w:t>устанавливается</w:t>
      </w:r>
      <w:r w:rsidR="00361744">
        <w:rPr>
          <w:rFonts w:ascii="PT Astra Serif" w:hAnsi="PT Astra Serif"/>
          <w:sz w:val="28"/>
          <w:szCs w:val="28"/>
        </w:rPr>
        <w:t xml:space="preserve"> перечень </w:t>
      </w:r>
      <w:r w:rsidR="00123D53">
        <w:rPr>
          <w:rFonts w:ascii="PT Astra Serif" w:hAnsi="PT Astra Serif"/>
          <w:sz w:val="28"/>
          <w:szCs w:val="28"/>
        </w:rPr>
        <w:t>категорий граждан, имеющих право на</w:t>
      </w:r>
      <w:r w:rsidR="00C70861">
        <w:rPr>
          <w:rFonts w:ascii="PT Astra Serif" w:hAnsi="PT Astra Serif"/>
          <w:sz w:val="28"/>
          <w:szCs w:val="28"/>
          <w:lang w:val="en-US"/>
        </w:rPr>
        <w:t> </w:t>
      </w:r>
      <w:r w:rsidR="00123D53">
        <w:rPr>
          <w:rFonts w:ascii="PT Astra Serif" w:hAnsi="PT Astra Serif"/>
          <w:sz w:val="28"/>
          <w:szCs w:val="28"/>
        </w:rPr>
        <w:t>получение единого месячного социального билета, дающего право бесплатного проезда в городском электрическом транспорте и автомобильном транспорте в</w:t>
      </w:r>
      <w:r w:rsidR="00C70861">
        <w:rPr>
          <w:rFonts w:ascii="PT Astra Serif" w:hAnsi="PT Astra Serif"/>
          <w:sz w:val="28"/>
          <w:szCs w:val="28"/>
        </w:rPr>
        <w:t xml:space="preserve"> </w:t>
      </w:r>
      <w:r w:rsidR="00123D53">
        <w:rPr>
          <w:rFonts w:ascii="PT Astra Serif" w:hAnsi="PT Astra Serif"/>
          <w:sz w:val="28"/>
          <w:szCs w:val="28"/>
        </w:rPr>
        <w:t>городском, пригородном и междугородном сообщениях в</w:t>
      </w:r>
      <w:r w:rsidR="00C70861">
        <w:rPr>
          <w:rFonts w:ascii="PT Astra Serif" w:hAnsi="PT Astra Serif"/>
          <w:sz w:val="28"/>
          <w:szCs w:val="28"/>
        </w:rPr>
        <w:t> </w:t>
      </w:r>
      <w:r w:rsidR="00123D53">
        <w:rPr>
          <w:rFonts w:ascii="PT Astra Serif" w:hAnsi="PT Astra Serif"/>
          <w:sz w:val="28"/>
          <w:szCs w:val="28"/>
        </w:rPr>
        <w:t>пределах Ульяновской области</w:t>
      </w:r>
      <w:r>
        <w:rPr>
          <w:rFonts w:ascii="PT Astra Serif" w:hAnsi="PT Astra Serif"/>
          <w:sz w:val="28"/>
          <w:szCs w:val="28"/>
        </w:rPr>
        <w:t>;</w:t>
      </w:r>
      <w:r w:rsidRPr="004E75A7">
        <w:rPr>
          <w:rFonts w:ascii="PT Astra Serif" w:hAnsi="PT Astra Serif"/>
          <w:sz w:val="28"/>
          <w:szCs w:val="28"/>
        </w:rPr>
        <w:t xml:space="preserve"> </w:t>
      </w:r>
      <w:r w:rsidR="00AA7F95" w:rsidRPr="004E75A7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3912CC" w:rsidRDefault="004E75A7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123D53">
        <w:rPr>
          <w:rFonts w:ascii="PT Astra Serif" w:hAnsi="PT Astra Serif"/>
          <w:sz w:val="28"/>
          <w:szCs w:val="28"/>
        </w:rPr>
        <w:t>устанавливается форма единого месячного социального билета</w:t>
      </w:r>
      <w:r w:rsidR="00D4714D">
        <w:rPr>
          <w:rFonts w:ascii="PT Astra Serif" w:hAnsi="PT Astra Serif"/>
          <w:sz w:val="28"/>
          <w:szCs w:val="28"/>
        </w:rPr>
        <w:t>;</w:t>
      </w:r>
    </w:p>
    <w:p w:rsidR="00D4714D" w:rsidRDefault="004E75A7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3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123D53">
        <w:rPr>
          <w:rFonts w:ascii="PT Astra Serif" w:eastAsiaTheme="minorHAnsi" w:hAnsi="PT Astra Serif"/>
          <w:bCs/>
          <w:sz w:val="28"/>
          <w:szCs w:val="28"/>
          <w:lang w:eastAsia="en-US"/>
        </w:rPr>
        <w:t>устанавливается порядок компенсации выпадающих доходов от</w:t>
      </w:r>
      <w:r w:rsidR="009A5067">
        <w:rPr>
          <w:rFonts w:ascii="PT Astra Serif" w:eastAsiaTheme="minorHAnsi" w:hAnsi="PT Astra Serif"/>
          <w:bCs/>
          <w:sz w:val="28"/>
          <w:szCs w:val="28"/>
          <w:lang w:eastAsia="en-US"/>
        </w:rPr>
        <w:t> </w:t>
      </w:r>
      <w:r w:rsidR="00123D53">
        <w:rPr>
          <w:rFonts w:ascii="PT Astra Serif" w:eastAsiaTheme="minorHAnsi" w:hAnsi="PT Astra Serif"/>
          <w:bCs/>
          <w:sz w:val="28"/>
          <w:szCs w:val="28"/>
          <w:lang w:eastAsia="en-US"/>
        </w:rPr>
        <w:t>перевозки отдельных категорий граждан</w:t>
      </w:r>
      <w:r w:rsidR="009A5067">
        <w:rPr>
          <w:rFonts w:ascii="PT Astra Serif" w:eastAsiaTheme="minorHAnsi" w:hAnsi="PT Astra Serif"/>
          <w:bCs/>
          <w:sz w:val="28"/>
          <w:szCs w:val="28"/>
          <w:lang w:eastAsia="en-US"/>
        </w:rPr>
        <w:t>, включая цель, условия предоставления и размер компенсации выпадающих доходов перевозчикам, осуществляющим перевозку федеральных и региональных льготников</w:t>
      </w:r>
      <w:r w:rsidR="00DD11C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E37B7A" w:rsidRDefault="004E75A7" w:rsidP="00DD11C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E37B7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38678A">
        <w:rPr>
          <w:rFonts w:ascii="PT Astra Serif" w:hAnsi="PT Astra Serif"/>
          <w:sz w:val="28"/>
          <w:szCs w:val="28"/>
        </w:rPr>
        <w:t>устанавливаются условия привлечения организации, обеспечивающей работу автоматизированной системы учёта оплаты проезда</w:t>
      </w:r>
      <w:r w:rsidR="009A5067">
        <w:rPr>
          <w:rFonts w:ascii="PT Astra Serif" w:hAnsi="PT Astra Serif"/>
          <w:sz w:val="28"/>
          <w:szCs w:val="28"/>
        </w:rPr>
        <w:t xml:space="preserve"> (далее – АСУОП), включая требования, которым должен соответствовать оператор АСУОП, перечень документов, который должен предоставить оператор АСУОП для участия в организации работы по перевозк</w:t>
      </w:r>
      <w:r w:rsidR="00F349C5">
        <w:rPr>
          <w:rFonts w:ascii="PT Astra Serif" w:hAnsi="PT Astra Serif"/>
          <w:sz w:val="28"/>
          <w:szCs w:val="28"/>
        </w:rPr>
        <w:t>е</w:t>
      </w:r>
      <w:r w:rsidR="009A5067">
        <w:rPr>
          <w:rFonts w:ascii="PT Astra Serif" w:hAnsi="PT Astra Serif"/>
          <w:sz w:val="28"/>
          <w:szCs w:val="28"/>
        </w:rPr>
        <w:t xml:space="preserve"> отдельных категорий граждан и</w:t>
      </w:r>
      <w:r w:rsidR="00F349C5">
        <w:rPr>
          <w:rFonts w:ascii="PT Astra Serif" w:hAnsi="PT Astra Serif"/>
          <w:sz w:val="28"/>
          <w:szCs w:val="28"/>
        </w:rPr>
        <w:t> </w:t>
      </w:r>
      <w:r w:rsidR="009A5067">
        <w:rPr>
          <w:rFonts w:ascii="PT Astra Serif" w:hAnsi="PT Astra Serif"/>
          <w:sz w:val="28"/>
          <w:szCs w:val="28"/>
        </w:rPr>
        <w:t>форма заявления на участие организации, обеспечивающей работу АСУОП</w:t>
      </w:r>
      <w:r w:rsidR="00F349C5">
        <w:rPr>
          <w:rFonts w:ascii="PT Astra Serif" w:hAnsi="PT Astra Serif"/>
          <w:sz w:val="28"/>
          <w:szCs w:val="28"/>
        </w:rPr>
        <w:t>, в</w:t>
      </w:r>
      <w:r w:rsidR="00C70861">
        <w:rPr>
          <w:rFonts w:ascii="PT Astra Serif" w:hAnsi="PT Astra Serif"/>
          <w:sz w:val="28"/>
          <w:szCs w:val="28"/>
        </w:rPr>
        <w:t> </w:t>
      </w:r>
      <w:r w:rsidR="00F349C5">
        <w:rPr>
          <w:rFonts w:ascii="PT Astra Serif" w:hAnsi="PT Astra Serif"/>
          <w:sz w:val="28"/>
          <w:szCs w:val="28"/>
        </w:rPr>
        <w:t>организации работы по перевозк</w:t>
      </w:r>
      <w:r w:rsidR="00C70861">
        <w:rPr>
          <w:rFonts w:ascii="PT Astra Serif" w:hAnsi="PT Astra Serif"/>
          <w:sz w:val="28"/>
          <w:szCs w:val="28"/>
        </w:rPr>
        <w:t>е</w:t>
      </w:r>
      <w:r w:rsidR="00F349C5">
        <w:rPr>
          <w:rFonts w:ascii="PT Astra Serif" w:hAnsi="PT Astra Serif"/>
          <w:sz w:val="28"/>
          <w:szCs w:val="28"/>
        </w:rPr>
        <w:t xml:space="preserve"> отдельных категорий граждан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4E75A7" w:rsidRDefault="004E75A7" w:rsidP="00DD11CB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F349C5">
        <w:rPr>
          <w:rFonts w:ascii="PT Astra Serif" w:eastAsiaTheme="minorHAnsi" w:hAnsi="PT Astra Serif"/>
          <w:bCs/>
          <w:sz w:val="28"/>
          <w:szCs w:val="28"/>
          <w:lang w:eastAsia="en-US"/>
        </w:rPr>
        <w:t>изменяется</w:t>
      </w:r>
      <w:r w:rsidR="0038678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порядок реализации единых месячных социальных билетов на территории Ульяновской области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4B7A47" w:rsidRDefault="004E75A7" w:rsidP="004B7A47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6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)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38678A">
        <w:rPr>
          <w:rFonts w:ascii="PT Astra Serif" w:eastAsiaTheme="minorHAnsi" w:hAnsi="PT Astra Serif"/>
          <w:bCs/>
          <w:sz w:val="28"/>
          <w:szCs w:val="28"/>
          <w:lang w:eastAsia="en-US"/>
        </w:rPr>
        <w:t>признаётся утратившим силу порядок определения размера возмещения выпадающих доходов от перевозки отдельных категорий граждан, включённых в региональный регистр лиц, имеющих право на получение мер социальной поддержки</w:t>
      </w:r>
      <w:r w:rsidR="004B7A47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64645C" w:rsidRDefault="00393428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7)</w:t>
      </w:r>
      <w:r w:rsidR="0038678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признаётся утратившим силу порядок распределения средств областного бюджета Ульяновской области на осуществление расходов на обеспечение равной доступности услуг общественного транспорта на территории Ульяновской области для отдельных категорий граждан, включённых в федеральный регистр лиц, имеющих право на получение государственной социальной помощи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393428" w:rsidRDefault="00393428" w:rsidP="00AA7F95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8) </w:t>
      </w:r>
      <w:r w:rsidR="0038678A">
        <w:rPr>
          <w:rFonts w:ascii="PT Astra Serif" w:eastAsiaTheme="minorHAnsi" w:hAnsi="PT Astra Serif"/>
          <w:bCs/>
          <w:sz w:val="28"/>
          <w:szCs w:val="28"/>
          <w:lang w:eastAsia="en-US"/>
        </w:rPr>
        <w:t>уточняются требования к участникам конкурсного отбора организаций на оказание услуг по изготовлению и распространению единых месячных социальных билетов</w:t>
      </w:r>
      <w:r w:rsidR="009A5067">
        <w:rPr>
          <w:rFonts w:ascii="PT Astra Serif" w:eastAsiaTheme="minorHAnsi" w:hAnsi="PT Astra Serif"/>
          <w:bCs/>
          <w:sz w:val="28"/>
          <w:szCs w:val="28"/>
          <w:lang w:eastAsia="en-US"/>
        </w:rPr>
        <w:t>, а также перечень документов, необходимый для участия в данном конкурсном отборе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; </w:t>
      </w:r>
    </w:p>
    <w:p w:rsidR="00465C85" w:rsidRDefault="00393428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9</w:t>
      </w:r>
      <w:r w:rsidR="0064645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F349C5">
        <w:rPr>
          <w:rFonts w:ascii="PT Astra Serif" w:eastAsiaTheme="minorHAnsi" w:hAnsi="PT Astra Serif"/>
          <w:bCs/>
          <w:sz w:val="28"/>
          <w:szCs w:val="28"/>
          <w:lang w:eastAsia="en-US"/>
        </w:rPr>
        <w:t>признаются утратившими силу отдельные положения постановлений Правительства Ульяновской области</w:t>
      </w:r>
      <w:r w:rsidR="003862E0">
        <w:rPr>
          <w:rFonts w:ascii="PT Astra Serif" w:hAnsi="PT Astra Serif"/>
          <w:sz w:val="28"/>
          <w:szCs w:val="28"/>
        </w:rPr>
        <w:t>;</w:t>
      </w:r>
    </w:p>
    <w:p w:rsidR="00907324" w:rsidRDefault="005978DF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349C5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) </w:t>
      </w:r>
      <w:r w:rsidR="00907324" w:rsidRPr="00D4714D">
        <w:rPr>
          <w:rFonts w:ascii="PT Astra Serif" w:hAnsi="PT Astra Serif"/>
          <w:sz w:val="28"/>
          <w:szCs w:val="28"/>
        </w:rPr>
        <w:t>вносятся изменения технического характера.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</w:t>
      </w:r>
      <w:r w:rsidR="00F349C5">
        <w:rPr>
          <w:rFonts w:ascii="PT Astra Serif" w:hAnsi="PT Astra Serif"/>
          <w:sz w:val="28"/>
          <w:szCs w:val="28"/>
        </w:rPr>
        <w:t xml:space="preserve"> и распространяется на правоотношения, возникшие с 1 января 2020 года</w:t>
      </w:r>
      <w:r>
        <w:rPr>
          <w:rFonts w:ascii="PT Astra Serif" w:hAnsi="PT Astra Serif"/>
          <w:sz w:val="28"/>
          <w:szCs w:val="28"/>
        </w:rPr>
        <w:t>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D11CB">
        <w:rPr>
          <w:rFonts w:ascii="PT Astra Serif" w:hAnsi="PT Astra Serif"/>
          <w:sz w:val="28"/>
          <w:szCs w:val="28"/>
        </w:rPr>
        <w:t xml:space="preserve">В целом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Pr="00DD11CB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Pr="00DD11CB">
        <w:rPr>
          <w:rFonts w:ascii="PT Astra Serif" w:hAnsi="PT Astra Serif"/>
          <w:sz w:val="28"/>
          <w:szCs w:val="28"/>
        </w:rPr>
        <w:t xml:space="preserve"> направлен на </w:t>
      </w:r>
      <w:r w:rsidR="00F70ADC">
        <w:rPr>
          <w:rFonts w:ascii="PT Astra Serif" w:hAnsi="PT Astra Serif"/>
          <w:sz w:val="28"/>
          <w:szCs w:val="28"/>
        </w:rPr>
        <w:t>совершенствование</w:t>
      </w:r>
      <w:r w:rsidRPr="00DD11CB">
        <w:rPr>
          <w:rFonts w:ascii="PT Astra Serif" w:hAnsi="PT Astra Serif"/>
          <w:sz w:val="28"/>
          <w:szCs w:val="28"/>
        </w:rPr>
        <w:t xml:space="preserve"> </w:t>
      </w:r>
      <w:r w:rsidR="006451ED">
        <w:rPr>
          <w:rFonts w:ascii="PT Astra Serif" w:hAnsi="PT Astra Serif"/>
          <w:sz w:val="28"/>
          <w:szCs w:val="28"/>
        </w:rPr>
        <w:t>порядка</w:t>
      </w:r>
      <w:r w:rsidR="00167DCD">
        <w:rPr>
          <w:rFonts w:ascii="PT Astra Serif" w:hAnsi="PT Astra Serif"/>
          <w:sz w:val="28"/>
          <w:szCs w:val="28"/>
        </w:rPr>
        <w:t xml:space="preserve"> </w:t>
      </w:r>
      <w:r w:rsidR="006451ED">
        <w:rPr>
          <w:sz w:val="28"/>
          <w:szCs w:val="28"/>
        </w:rPr>
        <w:t>компенсации расходов перевозчиков от перевозки льготных категорий граждан</w:t>
      </w:r>
      <w:r w:rsidR="00F70ADC">
        <w:rPr>
          <w:sz w:val="28"/>
          <w:szCs w:val="28"/>
        </w:rPr>
        <w:t xml:space="preserve"> </w:t>
      </w:r>
      <w:r w:rsidR="006451ED">
        <w:rPr>
          <w:sz w:val="28"/>
          <w:szCs w:val="28"/>
        </w:rPr>
        <w:t xml:space="preserve">и установление новой меры социальной поддержки отдельных категорий граждан </w:t>
      </w:r>
      <w:r w:rsidR="00F70ADC" w:rsidRPr="00076033">
        <w:rPr>
          <w:sz w:val="28"/>
          <w:szCs w:val="28"/>
        </w:rPr>
        <w:t>на территории Ульяновской области</w:t>
      </w:r>
      <w:r w:rsidRPr="00DD11CB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96525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096525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1B5D94" w:rsidRDefault="000123F7" w:rsidP="00BA67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6D6398">
        <w:rPr>
          <w:rFonts w:ascii="PT Astra Serif" w:hAnsi="PT Astra Serif"/>
          <w:sz w:val="28"/>
          <w:szCs w:val="28"/>
        </w:rPr>
        <w:t>ействующ</w:t>
      </w:r>
      <w:r>
        <w:rPr>
          <w:rFonts w:ascii="PT Astra Serif" w:hAnsi="PT Astra Serif"/>
          <w:sz w:val="28"/>
          <w:szCs w:val="28"/>
        </w:rPr>
        <w:t xml:space="preserve">ей редакцией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>
        <w:rPr>
          <w:rFonts w:ascii="PT Astra Serif" w:hAnsi="PT Astra Serif"/>
          <w:sz w:val="28"/>
          <w:szCs w:val="28"/>
        </w:rPr>
        <w:t> 12</w:t>
      </w:r>
      <w:r w:rsidRPr="00D4714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05</w:t>
      </w:r>
      <w:r w:rsidRPr="00D4714D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5</w:t>
      </w:r>
      <w:r w:rsidRPr="00D4714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190</w:t>
      </w:r>
      <w:r w:rsidRPr="00D4714D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установлен размер возмещения выпадающих доходов </w:t>
      </w:r>
      <w:r w:rsidR="00313CB7">
        <w:rPr>
          <w:rFonts w:ascii="PT Astra Serif" w:hAnsi="PT Astra Serif"/>
          <w:sz w:val="28"/>
          <w:szCs w:val="28"/>
        </w:rPr>
        <w:t xml:space="preserve">перевозчикам </w:t>
      </w:r>
      <w:r w:rsidR="009D0A88">
        <w:rPr>
          <w:rFonts w:ascii="PT Astra Serif" w:hAnsi="PT Astra Serif"/>
          <w:sz w:val="28"/>
          <w:szCs w:val="28"/>
        </w:rPr>
        <w:t>за</w:t>
      </w:r>
      <w:r>
        <w:rPr>
          <w:rFonts w:ascii="PT Astra Serif" w:hAnsi="PT Astra Serif"/>
          <w:sz w:val="28"/>
          <w:szCs w:val="28"/>
        </w:rPr>
        <w:t xml:space="preserve"> перевозк</w:t>
      </w:r>
      <w:r w:rsidR="009D0A88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отдельных категорий граждан на</w:t>
      </w:r>
      <w:r w:rsidR="00313CB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территории Ульяновской области, который определяется по формулам</w:t>
      </w:r>
      <w:r w:rsidR="007C57B6">
        <w:rPr>
          <w:rFonts w:ascii="PT Astra Serif" w:hAnsi="PT Astra Serif"/>
          <w:sz w:val="28"/>
          <w:szCs w:val="28"/>
        </w:rPr>
        <w:t>, не</w:t>
      </w:r>
      <w:r w:rsidR="00313CB7">
        <w:rPr>
          <w:rFonts w:ascii="PT Astra Serif" w:hAnsi="PT Astra Serif"/>
          <w:sz w:val="28"/>
          <w:szCs w:val="28"/>
        </w:rPr>
        <w:t> </w:t>
      </w:r>
      <w:r w:rsidR="007C57B6">
        <w:rPr>
          <w:rFonts w:ascii="PT Astra Serif" w:hAnsi="PT Astra Serif"/>
          <w:sz w:val="28"/>
          <w:szCs w:val="28"/>
        </w:rPr>
        <w:t xml:space="preserve">учитывающим </w:t>
      </w:r>
      <w:r w:rsidR="00352161">
        <w:rPr>
          <w:rFonts w:ascii="PT Astra Serif" w:hAnsi="PT Astra Serif"/>
          <w:sz w:val="28"/>
          <w:szCs w:val="28"/>
        </w:rPr>
        <w:t xml:space="preserve">фактическое </w:t>
      </w:r>
      <w:r w:rsidR="007C57B6">
        <w:rPr>
          <w:rFonts w:ascii="PT Astra Serif" w:hAnsi="PT Astra Serif"/>
          <w:sz w:val="28"/>
          <w:szCs w:val="28"/>
        </w:rPr>
        <w:t>количество перевезённых пассажиров, отнесённых к льготной категории граждан</w:t>
      </w:r>
      <w:r>
        <w:rPr>
          <w:rFonts w:ascii="PT Astra Serif" w:hAnsi="PT Astra Serif"/>
          <w:sz w:val="28"/>
          <w:szCs w:val="28"/>
        </w:rPr>
        <w:t xml:space="preserve">. По информации разработчика акта, </w:t>
      </w:r>
      <w:r w:rsidR="00962402">
        <w:rPr>
          <w:rFonts w:ascii="PT Astra Serif" w:hAnsi="PT Astra Serif"/>
          <w:sz w:val="28"/>
          <w:szCs w:val="28"/>
        </w:rPr>
        <w:t>такой</w:t>
      </w:r>
      <w:r>
        <w:rPr>
          <w:rFonts w:ascii="PT Astra Serif" w:hAnsi="PT Astra Serif"/>
          <w:sz w:val="28"/>
          <w:szCs w:val="28"/>
        </w:rPr>
        <w:t xml:space="preserve"> подход к</w:t>
      </w:r>
      <w:r w:rsidR="00352161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возмещению перевозчикам выпадающих доходов </w:t>
      </w:r>
      <w:r w:rsidR="00962402">
        <w:rPr>
          <w:rFonts w:ascii="PT Astra Serif" w:hAnsi="PT Astra Serif"/>
          <w:sz w:val="28"/>
          <w:szCs w:val="28"/>
        </w:rPr>
        <w:t xml:space="preserve">является </w:t>
      </w:r>
      <w:r w:rsidR="009D0A88">
        <w:rPr>
          <w:rFonts w:ascii="PT Astra Serif" w:hAnsi="PT Astra Serif"/>
          <w:sz w:val="28"/>
          <w:szCs w:val="28"/>
        </w:rPr>
        <w:t>обобщающим</w:t>
      </w:r>
      <w:r w:rsidR="00962402">
        <w:rPr>
          <w:rFonts w:ascii="PT Astra Serif" w:hAnsi="PT Astra Serif"/>
          <w:sz w:val="28"/>
          <w:szCs w:val="28"/>
        </w:rPr>
        <w:t xml:space="preserve"> и</w:t>
      </w:r>
      <w:r w:rsidR="00E06CF1">
        <w:rPr>
          <w:rFonts w:ascii="PT Astra Serif" w:hAnsi="PT Astra Serif"/>
          <w:sz w:val="28"/>
          <w:szCs w:val="28"/>
        </w:rPr>
        <w:t> </w:t>
      </w:r>
      <w:r w:rsidR="00962402">
        <w:rPr>
          <w:rFonts w:ascii="PT Astra Serif" w:hAnsi="PT Astra Serif"/>
          <w:sz w:val="28"/>
          <w:szCs w:val="28"/>
        </w:rPr>
        <w:t>не</w:t>
      </w:r>
      <w:r w:rsidR="00E06CF1">
        <w:rPr>
          <w:rFonts w:ascii="PT Astra Serif" w:hAnsi="PT Astra Serif"/>
          <w:sz w:val="28"/>
          <w:szCs w:val="28"/>
        </w:rPr>
        <w:t> </w:t>
      </w:r>
      <w:r w:rsidR="00962402">
        <w:rPr>
          <w:rFonts w:ascii="PT Astra Serif" w:hAnsi="PT Astra Serif"/>
          <w:sz w:val="28"/>
          <w:szCs w:val="28"/>
        </w:rPr>
        <w:t xml:space="preserve">соответствует </w:t>
      </w:r>
      <w:r w:rsidR="009D0A88">
        <w:rPr>
          <w:rFonts w:ascii="PT Astra Serif" w:hAnsi="PT Astra Serif"/>
          <w:sz w:val="28"/>
          <w:szCs w:val="28"/>
        </w:rPr>
        <w:t>фактическим</w:t>
      </w:r>
      <w:r w:rsidR="00962402">
        <w:rPr>
          <w:rFonts w:ascii="PT Astra Serif" w:hAnsi="PT Astra Serif"/>
          <w:sz w:val="28"/>
          <w:szCs w:val="28"/>
        </w:rPr>
        <w:t xml:space="preserve"> затратам перевозчиков в связи с</w:t>
      </w:r>
      <w:r w:rsidR="00313CB7">
        <w:rPr>
          <w:rFonts w:ascii="PT Astra Serif" w:hAnsi="PT Astra Serif"/>
          <w:sz w:val="28"/>
          <w:szCs w:val="28"/>
        </w:rPr>
        <w:t> </w:t>
      </w:r>
      <w:r w:rsidR="00962402">
        <w:rPr>
          <w:rFonts w:ascii="PT Astra Serif" w:hAnsi="PT Astra Serif"/>
          <w:sz w:val="28"/>
          <w:szCs w:val="28"/>
        </w:rPr>
        <w:t>перевозкой льготных категорий граждан</w:t>
      </w:r>
      <w:r w:rsidR="001B5D94">
        <w:rPr>
          <w:rFonts w:ascii="PT Astra Serif" w:hAnsi="PT Astra Serif"/>
          <w:sz w:val="28"/>
          <w:szCs w:val="28"/>
        </w:rPr>
        <w:t xml:space="preserve">. </w:t>
      </w:r>
    </w:p>
    <w:p w:rsidR="002F2141" w:rsidRDefault="006D6398" w:rsidP="0035216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52161">
        <w:rPr>
          <w:rFonts w:ascii="PT Astra Serif" w:hAnsi="PT Astra Serif"/>
          <w:sz w:val="28"/>
          <w:szCs w:val="28"/>
        </w:rPr>
        <w:t>Кроме того,</w:t>
      </w:r>
      <w:r>
        <w:rPr>
          <w:rFonts w:ascii="PT Astra Serif" w:hAnsi="PT Astra Serif"/>
          <w:sz w:val="28"/>
          <w:szCs w:val="28"/>
        </w:rPr>
        <w:t xml:space="preserve"> </w:t>
      </w:r>
      <w:r w:rsidR="00D82C94">
        <w:rPr>
          <w:rFonts w:ascii="PT Astra Serif" w:hAnsi="PT Astra Serif"/>
          <w:sz w:val="28"/>
          <w:szCs w:val="28"/>
        </w:rPr>
        <w:t>д</w:t>
      </w:r>
      <w:r w:rsidR="00D82C94" w:rsidRPr="006D6398">
        <w:rPr>
          <w:rFonts w:ascii="PT Astra Serif" w:hAnsi="PT Astra Serif"/>
          <w:sz w:val="28"/>
          <w:szCs w:val="28"/>
        </w:rPr>
        <w:t>ействующ</w:t>
      </w:r>
      <w:r w:rsidR="00D82C94">
        <w:rPr>
          <w:rFonts w:ascii="PT Astra Serif" w:hAnsi="PT Astra Serif"/>
          <w:sz w:val="28"/>
          <w:szCs w:val="28"/>
        </w:rPr>
        <w:t xml:space="preserve">ая редакция </w:t>
      </w:r>
      <w:r w:rsidR="00D82C94" w:rsidRPr="00D4714D">
        <w:rPr>
          <w:rFonts w:ascii="PT Astra Serif" w:hAnsi="PT Astra Serif"/>
          <w:sz w:val="28"/>
          <w:szCs w:val="28"/>
        </w:rPr>
        <w:t>постановлени</w:t>
      </w:r>
      <w:r w:rsidR="00D82C94">
        <w:rPr>
          <w:rFonts w:ascii="PT Astra Serif" w:hAnsi="PT Astra Serif"/>
          <w:sz w:val="28"/>
          <w:szCs w:val="28"/>
        </w:rPr>
        <w:t>я</w:t>
      </w:r>
      <w:r w:rsidR="00D82C94"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от</w:t>
      </w:r>
      <w:r w:rsidR="00D82C94">
        <w:rPr>
          <w:rFonts w:ascii="PT Astra Serif" w:hAnsi="PT Astra Serif"/>
          <w:sz w:val="28"/>
          <w:szCs w:val="28"/>
        </w:rPr>
        <w:t> 12</w:t>
      </w:r>
      <w:r w:rsidR="00D82C94" w:rsidRPr="00D4714D">
        <w:rPr>
          <w:rFonts w:ascii="PT Astra Serif" w:hAnsi="PT Astra Serif"/>
          <w:sz w:val="28"/>
          <w:szCs w:val="28"/>
        </w:rPr>
        <w:t>.</w:t>
      </w:r>
      <w:r w:rsidR="00D82C94">
        <w:rPr>
          <w:rFonts w:ascii="PT Astra Serif" w:hAnsi="PT Astra Serif"/>
          <w:sz w:val="28"/>
          <w:szCs w:val="28"/>
        </w:rPr>
        <w:t>05</w:t>
      </w:r>
      <w:r w:rsidR="00D82C94" w:rsidRPr="00D4714D">
        <w:rPr>
          <w:rFonts w:ascii="PT Astra Serif" w:hAnsi="PT Astra Serif"/>
          <w:sz w:val="28"/>
          <w:szCs w:val="28"/>
        </w:rPr>
        <w:t>.201</w:t>
      </w:r>
      <w:r w:rsidR="00D82C94">
        <w:rPr>
          <w:rFonts w:ascii="PT Astra Serif" w:hAnsi="PT Astra Serif"/>
          <w:sz w:val="28"/>
          <w:szCs w:val="28"/>
        </w:rPr>
        <w:t>5</w:t>
      </w:r>
      <w:r w:rsidR="00D82C94" w:rsidRPr="00D4714D">
        <w:rPr>
          <w:rFonts w:ascii="PT Astra Serif" w:hAnsi="PT Astra Serif"/>
          <w:sz w:val="28"/>
          <w:szCs w:val="28"/>
        </w:rPr>
        <w:t xml:space="preserve"> № </w:t>
      </w:r>
      <w:r w:rsidR="00D82C94">
        <w:rPr>
          <w:rFonts w:ascii="PT Astra Serif" w:hAnsi="PT Astra Serif"/>
          <w:sz w:val="28"/>
          <w:szCs w:val="28"/>
        </w:rPr>
        <w:t>190</w:t>
      </w:r>
      <w:r w:rsidR="00D82C94" w:rsidRPr="00D4714D">
        <w:rPr>
          <w:rFonts w:ascii="PT Astra Serif" w:hAnsi="PT Astra Serif"/>
          <w:sz w:val="28"/>
          <w:szCs w:val="28"/>
        </w:rPr>
        <w:t>-П</w:t>
      </w:r>
      <w:r w:rsidR="00D82C94">
        <w:rPr>
          <w:rFonts w:ascii="PT Astra Serif" w:hAnsi="PT Astra Serif"/>
          <w:sz w:val="28"/>
          <w:szCs w:val="28"/>
        </w:rPr>
        <w:t xml:space="preserve"> не предусматривает оказание такой меры государственной социальной поддержки, как предоставление бесплатного единого месячного проездного билета для следующих категорий граждан:</w:t>
      </w:r>
    </w:p>
    <w:p w:rsidR="00D82C94" w:rsidRDefault="00D82C94" w:rsidP="0035216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инвалиды Великой Отечественной войны;</w:t>
      </w:r>
    </w:p>
    <w:p w:rsidR="00D82C94" w:rsidRDefault="00D82C94" w:rsidP="0035216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участники Великой Отечественной войны;</w:t>
      </w:r>
    </w:p>
    <w:p w:rsidR="00D82C94" w:rsidRDefault="00D82C94" w:rsidP="0035216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лица, награждённые знаком «Жителю блокадного Ленинграда»;</w:t>
      </w:r>
    </w:p>
    <w:p w:rsidR="00D82C94" w:rsidRDefault="00D82C94" w:rsidP="0035216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бывшие несовершеннолетние узники концлагерей, гетто и других мест принудительного содержания, созданных фашистами в период </w:t>
      </w:r>
      <w:r w:rsidR="005901FD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торой мировой войны;</w:t>
      </w:r>
    </w:p>
    <w:p w:rsidR="00D82C94" w:rsidRDefault="00D82C94" w:rsidP="0035216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сопровождающие указанных категорий граждан.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9D0A88">
        <w:rPr>
          <w:rFonts w:ascii="PT Astra Serif" w:hAnsi="PT Astra Serif"/>
          <w:sz w:val="28"/>
          <w:szCs w:val="28"/>
        </w:rPr>
        <w:t>обобщающего</w:t>
      </w:r>
      <w:r w:rsidR="00655F70">
        <w:rPr>
          <w:rFonts w:ascii="PT Astra Serif" w:hAnsi="PT Astra Serif"/>
          <w:sz w:val="28"/>
          <w:szCs w:val="28"/>
        </w:rPr>
        <w:t xml:space="preserve"> подхода к </w:t>
      </w:r>
      <w:r w:rsidR="009D0A88">
        <w:rPr>
          <w:rFonts w:ascii="PT Astra Serif" w:hAnsi="PT Astra Serif"/>
          <w:sz w:val="28"/>
          <w:szCs w:val="28"/>
        </w:rPr>
        <w:t xml:space="preserve">расчёту </w:t>
      </w:r>
      <w:r w:rsidR="00655F70">
        <w:rPr>
          <w:rFonts w:ascii="PT Astra Serif" w:hAnsi="PT Astra Serif"/>
          <w:sz w:val="28"/>
          <w:szCs w:val="28"/>
        </w:rPr>
        <w:t>выпадающих доходов</w:t>
      </w:r>
      <w:r w:rsidR="009D0A88">
        <w:rPr>
          <w:rFonts w:ascii="PT Astra Serif" w:hAnsi="PT Astra Serif"/>
          <w:sz w:val="28"/>
          <w:szCs w:val="28"/>
        </w:rPr>
        <w:t xml:space="preserve"> </w:t>
      </w:r>
      <w:r w:rsidR="009D0A88">
        <w:rPr>
          <w:rFonts w:ascii="PT Astra Serif" w:hAnsi="PT Astra Serif"/>
          <w:sz w:val="28"/>
          <w:szCs w:val="28"/>
        </w:rPr>
        <w:t>перевозчик</w:t>
      </w:r>
      <w:r w:rsidR="009D0A88">
        <w:rPr>
          <w:rFonts w:ascii="PT Astra Serif" w:hAnsi="PT Astra Serif"/>
          <w:sz w:val="28"/>
          <w:szCs w:val="28"/>
        </w:rPr>
        <w:t>ов</w:t>
      </w:r>
      <w:r w:rsidR="00655F70">
        <w:rPr>
          <w:rFonts w:ascii="PT Astra Serif" w:hAnsi="PT Astra Serif"/>
          <w:sz w:val="28"/>
          <w:szCs w:val="28"/>
        </w:rPr>
        <w:t xml:space="preserve"> от</w:t>
      </w:r>
      <w:r w:rsidR="00313CB7">
        <w:rPr>
          <w:rFonts w:ascii="PT Astra Serif" w:hAnsi="PT Astra Serif"/>
          <w:sz w:val="28"/>
          <w:szCs w:val="28"/>
        </w:rPr>
        <w:t> </w:t>
      </w:r>
      <w:r w:rsidR="00655F70">
        <w:rPr>
          <w:rFonts w:ascii="PT Astra Serif" w:hAnsi="PT Astra Serif"/>
          <w:sz w:val="28"/>
          <w:szCs w:val="28"/>
        </w:rPr>
        <w:t>перевозки льготных категорий граждан</w:t>
      </w:r>
      <w:r w:rsidR="00A12B5B">
        <w:rPr>
          <w:rFonts w:ascii="PT Astra Serif" w:hAnsi="PT Astra Serif"/>
          <w:sz w:val="28"/>
          <w:szCs w:val="28"/>
        </w:rPr>
        <w:t xml:space="preserve">, а также </w:t>
      </w:r>
      <w:r w:rsidR="009D0A88">
        <w:rPr>
          <w:rFonts w:ascii="PT Astra Serif" w:hAnsi="PT Astra Serif"/>
          <w:sz w:val="28"/>
          <w:szCs w:val="28"/>
        </w:rPr>
        <w:t xml:space="preserve">отсутствие </w:t>
      </w:r>
      <w:r w:rsidR="00655F70">
        <w:rPr>
          <w:rFonts w:ascii="PT Astra Serif" w:hAnsi="PT Astra Serif"/>
          <w:sz w:val="28"/>
          <w:szCs w:val="28"/>
        </w:rPr>
        <w:t xml:space="preserve">бесплатного проезда </w:t>
      </w:r>
      <w:r w:rsidR="009D0A88">
        <w:rPr>
          <w:rFonts w:ascii="PT Astra Serif" w:hAnsi="PT Astra Serif"/>
          <w:sz w:val="28"/>
          <w:szCs w:val="28"/>
        </w:rPr>
        <w:t xml:space="preserve">для </w:t>
      </w:r>
      <w:r w:rsidR="00655F70">
        <w:rPr>
          <w:rFonts w:ascii="PT Astra Serif" w:hAnsi="PT Astra Serif"/>
          <w:sz w:val="28"/>
          <w:szCs w:val="28"/>
        </w:rPr>
        <w:t>отдельны</w:t>
      </w:r>
      <w:r w:rsidR="009D0A88">
        <w:rPr>
          <w:rFonts w:ascii="PT Astra Serif" w:hAnsi="PT Astra Serif"/>
          <w:sz w:val="28"/>
          <w:szCs w:val="28"/>
        </w:rPr>
        <w:t>х</w:t>
      </w:r>
      <w:r w:rsidR="00655F70">
        <w:rPr>
          <w:rFonts w:ascii="PT Astra Serif" w:hAnsi="PT Astra Serif"/>
          <w:sz w:val="28"/>
          <w:szCs w:val="28"/>
        </w:rPr>
        <w:t xml:space="preserve"> категори</w:t>
      </w:r>
      <w:r w:rsidR="009D0A88">
        <w:rPr>
          <w:rFonts w:ascii="PT Astra Serif" w:hAnsi="PT Astra Serif"/>
          <w:sz w:val="28"/>
          <w:szCs w:val="28"/>
        </w:rPr>
        <w:t>й</w:t>
      </w:r>
      <w:r w:rsidR="00655F70">
        <w:rPr>
          <w:rFonts w:ascii="PT Astra Serif" w:hAnsi="PT Astra Serif"/>
          <w:sz w:val="28"/>
          <w:szCs w:val="28"/>
        </w:rPr>
        <w:t xml:space="preserve"> граждан на территории</w:t>
      </w:r>
      <w:r w:rsidR="00A12B5B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96525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52161">
        <w:rPr>
          <w:rFonts w:ascii="PT Astra Serif" w:hAnsi="PT Astra Serif"/>
          <w:sz w:val="28"/>
        </w:rPr>
        <w:t>обеспечение доступности транспортных услуг</w:t>
      </w:r>
      <w:r w:rsidR="00367333">
        <w:rPr>
          <w:rFonts w:ascii="PT Astra Serif" w:hAnsi="PT Astra Serif"/>
          <w:sz w:val="28"/>
        </w:rPr>
        <w:t xml:space="preserve"> на территории Ульяновской области</w:t>
      </w:r>
      <w:r w:rsidR="00352161">
        <w:rPr>
          <w:rFonts w:ascii="PT Astra Serif" w:hAnsi="PT Astra Serif"/>
          <w:sz w:val="28"/>
        </w:rPr>
        <w:t xml:space="preserve"> для отдельных категорий граждан</w:t>
      </w:r>
      <w:r w:rsidR="00A379DD">
        <w:rPr>
          <w:rFonts w:ascii="PT Astra Serif" w:hAnsi="PT Astra Serif"/>
          <w:sz w:val="28"/>
        </w:rPr>
        <w:t xml:space="preserve"> и возмещение выпадающих доходов перевозчикам в полном объёме</w:t>
      </w:r>
      <w:r w:rsidR="00352161">
        <w:rPr>
          <w:rFonts w:ascii="PT Astra Serif" w:hAnsi="PT Astra Serif"/>
          <w:sz w:val="28"/>
        </w:rPr>
        <w:t xml:space="preserve">. 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lastRenderedPageBreak/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D4714D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2161" w:rsidRPr="00D4714D" w:rsidTr="003521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61" w:rsidRPr="00352161" w:rsidRDefault="00352161" w:rsidP="00352161">
            <w:pPr>
              <w:keepNext/>
              <w:jc w:val="both"/>
              <w:outlineLvl w:val="0"/>
              <w:rPr>
                <w:rFonts w:ascii="PT Astra Serif" w:hAnsi="PT Astra Serif"/>
              </w:rPr>
            </w:pPr>
            <w:r w:rsidRPr="00352161">
              <w:rPr>
                <w:rFonts w:ascii="PT Astra Serif" w:hAnsi="PT Astra Serif"/>
                <w:bCs/>
                <w:i/>
                <w:kern w:val="32"/>
              </w:rPr>
              <w:t>Цель № 1</w:t>
            </w:r>
          </w:p>
          <w:p w:rsidR="00352161" w:rsidRPr="00352161" w:rsidRDefault="00352161" w:rsidP="00352161">
            <w:pPr>
              <w:jc w:val="both"/>
              <w:rPr>
                <w:rFonts w:ascii="PT Astra Serif" w:hAnsi="PT Astra Serif" w:cs="Calibri"/>
              </w:rPr>
            </w:pPr>
            <w:r w:rsidRPr="00352161">
              <w:rPr>
                <w:rFonts w:ascii="PT Astra Serif" w:hAnsi="PT Astra Serif" w:cs="Calibri"/>
              </w:rPr>
              <w:t>возмещение расходов перевозчикам, осуществляющим перевозку льготн</w:t>
            </w:r>
            <w:r>
              <w:rPr>
                <w:rFonts w:ascii="PT Astra Serif" w:hAnsi="PT Astra Serif" w:cs="Calibri"/>
              </w:rPr>
              <w:t>ых категорий граждан</w:t>
            </w:r>
            <w:r w:rsidRPr="00352161">
              <w:rPr>
                <w:rFonts w:ascii="PT Astra Serif" w:hAnsi="PT Astra Serif" w:cs="Calibri"/>
              </w:rPr>
              <w:t xml:space="preserve">, исходя из действующего тарифа на основании данных </w:t>
            </w:r>
            <w:r w:rsidR="00E1084B">
              <w:rPr>
                <w:rFonts w:ascii="PT Astra Serif" w:hAnsi="PT Astra Serif" w:cs="Calibri"/>
              </w:rPr>
              <w:t>АСУОП</w:t>
            </w:r>
            <w:r w:rsidRPr="00352161">
              <w:rPr>
                <w:rFonts w:ascii="PT Astra Serif" w:hAnsi="PT Astra Serif" w:cs="Calibri"/>
              </w:rPr>
              <w:t xml:space="preserve"> </w:t>
            </w:r>
          </w:p>
          <w:p w:rsidR="00352161" w:rsidRPr="00352161" w:rsidRDefault="00352161" w:rsidP="00352161">
            <w:pPr>
              <w:jc w:val="both"/>
              <w:rPr>
                <w:rFonts w:ascii="PT Astra Serif" w:hAnsi="PT Astra Serif" w:cs="Calibri"/>
              </w:rPr>
            </w:pPr>
          </w:p>
          <w:p w:rsidR="00352161" w:rsidRPr="00352161" w:rsidRDefault="00352161" w:rsidP="00352161">
            <w:pPr>
              <w:jc w:val="both"/>
              <w:rPr>
                <w:rFonts w:ascii="PT Astra Serif" w:hAnsi="PT Astra Serif" w:cs="Calibri"/>
                <w:i/>
              </w:rPr>
            </w:pPr>
            <w:r w:rsidRPr="00352161">
              <w:rPr>
                <w:rFonts w:ascii="PT Astra Serif" w:hAnsi="PT Astra Serif" w:cs="Calibri"/>
                <w:i/>
              </w:rPr>
              <w:t>Цель № 2</w:t>
            </w:r>
          </w:p>
          <w:p w:rsidR="00352161" w:rsidRPr="00352161" w:rsidRDefault="00352161" w:rsidP="00352161">
            <w:pPr>
              <w:jc w:val="both"/>
              <w:rPr>
                <w:rFonts w:ascii="PT Astra Serif" w:hAnsi="PT Astra Serif" w:cs="Calibri"/>
              </w:rPr>
            </w:pPr>
            <w:r w:rsidRPr="00352161">
              <w:rPr>
                <w:rFonts w:ascii="PT Astra Serif" w:hAnsi="PT Astra Serif" w:cs="Calibri"/>
              </w:rPr>
              <w:t>предоставление бесплатного проезда инвалидам Великой Отечественной войны, участникам Великой Отечественной войны,</w:t>
            </w:r>
            <w:r>
              <w:rPr>
                <w:rFonts w:ascii="PT Astra Serif" w:hAnsi="PT Astra Serif" w:cs="Calibri"/>
              </w:rPr>
              <w:t xml:space="preserve"> другим льготным категориям граждан,</w:t>
            </w:r>
            <w:r w:rsidRPr="00352161">
              <w:rPr>
                <w:rFonts w:ascii="PT Astra Serif" w:hAnsi="PT Astra Serif" w:cs="Calibri"/>
              </w:rPr>
              <w:t xml:space="preserve"> а</w:t>
            </w:r>
            <w:r>
              <w:rPr>
                <w:rFonts w:ascii="PT Astra Serif" w:hAnsi="PT Astra Serif" w:cs="Calibri"/>
              </w:rPr>
              <w:t xml:space="preserve"> также лицам их сопровождающих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61" w:rsidRPr="00352161" w:rsidRDefault="00352161" w:rsidP="00352161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>
              <w:rPr>
                <w:rFonts w:ascii="PT Astra Serif" w:hAnsi="PT Astra Serif"/>
                <w:bCs/>
                <w:kern w:val="32"/>
              </w:rPr>
              <w:t>с</w:t>
            </w:r>
            <w:r w:rsidRPr="00352161">
              <w:rPr>
                <w:rFonts w:ascii="PT Astra Serif" w:hAnsi="PT Astra Serif"/>
                <w:bCs/>
                <w:kern w:val="32"/>
              </w:rPr>
              <w:t xml:space="preserve"> 2020</w:t>
            </w:r>
            <w:r>
              <w:rPr>
                <w:rFonts w:ascii="PT Astra Serif" w:hAnsi="PT Astra Serif"/>
                <w:bCs/>
                <w:kern w:val="32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4B" w:rsidRDefault="00E1084B" w:rsidP="00352161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352161" w:rsidRPr="00352161" w:rsidRDefault="00352161" w:rsidP="00352161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352161">
              <w:rPr>
                <w:rFonts w:ascii="PT Astra Serif" w:hAnsi="PT Astra Serif"/>
                <w:bCs/>
                <w:kern w:val="32"/>
              </w:rPr>
              <w:t>возмещение расходов перевозчиков</w:t>
            </w:r>
            <w:r>
              <w:rPr>
                <w:rFonts w:ascii="PT Astra Serif" w:hAnsi="PT Astra Serif"/>
                <w:bCs/>
                <w:kern w:val="32"/>
              </w:rPr>
              <w:t xml:space="preserve"> в </w:t>
            </w:r>
            <w:r w:rsidRPr="00352161">
              <w:rPr>
                <w:rFonts w:ascii="PT Astra Serif" w:hAnsi="PT Astra Serif"/>
                <w:bCs/>
                <w:kern w:val="32"/>
              </w:rPr>
              <w:t>100%</w:t>
            </w:r>
            <w:r>
              <w:rPr>
                <w:rFonts w:ascii="PT Astra Serif" w:hAnsi="PT Astra Serif"/>
                <w:bCs/>
                <w:kern w:val="32"/>
              </w:rPr>
              <w:t xml:space="preserve"> размере</w:t>
            </w:r>
          </w:p>
          <w:p w:rsidR="00352161" w:rsidRPr="00352161" w:rsidRDefault="00352161" w:rsidP="00352161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352161" w:rsidRPr="00352161" w:rsidRDefault="00352161" w:rsidP="00352161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352161" w:rsidRPr="00352161" w:rsidRDefault="00352161" w:rsidP="00352161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352161" w:rsidRPr="00352161" w:rsidRDefault="00352161" w:rsidP="00352161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</w:p>
          <w:p w:rsidR="00352161" w:rsidRPr="00352161" w:rsidRDefault="00352161" w:rsidP="00352161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352161">
              <w:rPr>
                <w:rFonts w:ascii="PT Astra Serif" w:hAnsi="PT Astra Serif"/>
                <w:bCs/>
                <w:kern w:val="32"/>
              </w:rPr>
              <w:t xml:space="preserve">улучшение качества транспортного обслуживания </w:t>
            </w:r>
            <w:r w:rsidRPr="0035216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Cs/>
                <w:kern w:val="32"/>
              </w:rPr>
              <w:t>льготных категорий граждан</w:t>
            </w:r>
          </w:p>
        </w:tc>
      </w:tr>
    </w:tbl>
    <w:p w:rsidR="000E6A05" w:rsidRDefault="000E6A05" w:rsidP="00771895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>
        <w:rPr>
          <w:rFonts w:ascii="PT Astra Serif" w:hAnsi="PT Astra Serif"/>
          <w:sz w:val="28"/>
          <w:szCs w:val="28"/>
        </w:rPr>
        <w:t xml:space="preserve">части </w:t>
      </w:r>
      <w:r w:rsidR="00CF7C75">
        <w:rPr>
          <w:rFonts w:ascii="PT Astra Serif" w:hAnsi="PT Astra Serif"/>
          <w:sz w:val="28"/>
          <w:szCs w:val="28"/>
        </w:rPr>
        <w:t>организации перевозок отдельных категорий граждан на общественном транспорте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="00077072">
        <w:rPr>
          <w:rFonts w:ascii="PT Astra Serif" w:hAnsi="PT Astra Serif"/>
          <w:sz w:val="28"/>
          <w:szCs w:val="28"/>
        </w:rPr>
        <w:t>порядки</w:t>
      </w:r>
      <w:r>
        <w:rPr>
          <w:rFonts w:ascii="PT Astra Serif" w:hAnsi="PT Astra Serif"/>
          <w:sz w:val="28"/>
          <w:szCs w:val="28"/>
        </w:rPr>
        <w:t xml:space="preserve"> </w:t>
      </w:r>
      <w:r w:rsidR="00222B97">
        <w:rPr>
          <w:rFonts w:ascii="PT Astra Serif" w:hAnsi="PT Astra Serif"/>
          <w:sz w:val="28"/>
          <w:szCs w:val="28"/>
        </w:rPr>
        <w:t>компенсации выпадающих доходов</w:t>
      </w:r>
      <w:r w:rsidR="00CF7C75">
        <w:rPr>
          <w:rFonts w:ascii="PT Astra Serif" w:hAnsi="PT Astra Serif"/>
          <w:sz w:val="28"/>
          <w:szCs w:val="28"/>
        </w:rPr>
        <w:t xml:space="preserve"> </w:t>
      </w:r>
      <w:r w:rsidR="00222B97">
        <w:rPr>
          <w:rFonts w:ascii="PT Astra Serif" w:hAnsi="PT Astra Serif"/>
          <w:sz w:val="28"/>
          <w:szCs w:val="28"/>
        </w:rPr>
        <w:t xml:space="preserve">перевозчикам приняты </w:t>
      </w:r>
      <w:r w:rsidR="00CF7C75">
        <w:rPr>
          <w:rFonts w:ascii="PT Astra Serif" w:hAnsi="PT Astra Serif"/>
          <w:sz w:val="28"/>
          <w:szCs w:val="28"/>
        </w:rPr>
        <w:t xml:space="preserve">во многих </w:t>
      </w:r>
      <w:r>
        <w:rPr>
          <w:rFonts w:ascii="PT Astra Serif" w:hAnsi="PT Astra Serif"/>
          <w:sz w:val="28"/>
          <w:szCs w:val="28"/>
        </w:rPr>
        <w:t>субъект</w:t>
      </w:r>
      <w:r w:rsidR="00CF7C75">
        <w:rPr>
          <w:rFonts w:ascii="PT Astra Serif" w:hAnsi="PT Astra Serif"/>
          <w:sz w:val="28"/>
          <w:szCs w:val="28"/>
        </w:rPr>
        <w:t>ах</w:t>
      </w:r>
      <w:r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DD3706" w:rsidRPr="00163EC5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DD3706" w:rsidRPr="00163EC5" w:rsidTr="00DE23FF">
        <w:tc>
          <w:tcPr>
            <w:tcW w:w="2802" w:type="dxa"/>
          </w:tcPr>
          <w:p w:rsidR="00DD3706" w:rsidRPr="00163EC5" w:rsidRDefault="00DD3706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DD3706" w:rsidRPr="00163EC5" w:rsidRDefault="00DD3706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C73EA3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Пермский край</w:t>
            </w:r>
          </w:p>
        </w:tc>
        <w:tc>
          <w:tcPr>
            <w:tcW w:w="6945" w:type="dxa"/>
          </w:tcPr>
          <w:p w:rsidR="00DD3706" w:rsidRPr="00163EC5" w:rsidRDefault="00C73EA3" w:rsidP="00C73EA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C73EA3">
              <w:rPr>
                <w:rFonts w:ascii="PT Astra Serif" w:hAnsi="PT Astra Serif"/>
              </w:rPr>
              <w:t>Постановление Правительства Пермского края от 19</w:t>
            </w:r>
            <w:r>
              <w:rPr>
                <w:rFonts w:ascii="PT Astra Serif" w:hAnsi="PT Astra Serif"/>
              </w:rPr>
              <w:t>.10.</w:t>
            </w:r>
            <w:r w:rsidRPr="00C73EA3">
              <w:rPr>
                <w:rFonts w:ascii="PT Astra Serif" w:hAnsi="PT Astra Serif"/>
              </w:rPr>
              <w:t>2010 №</w:t>
            </w:r>
            <w:r>
              <w:rPr>
                <w:rFonts w:ascii="PT Astra Serif" w:hAnsi="PT Astra Serif"/>
              </w:rPr>
              <w:t> </w:t>
            </w:r>
            <w:r w:rsidRPr="00C73EA3">
              <w:rPr>
                <w:rFonts w:ascii="PT Astra Serif" w:hAnsi="PT Astra Serif"/>
              </w:rPr>
              <w:t xml:space="preserve">739-п </w:t>
            </w:r>
            <w:r>
              <w:rPr>
                <w:rFonts w:ascii="PT Astra Serif" w:hAnsi="PT Astra Serif"/>
              </w:rPr>
              <w:t>«</w:t>
            </w:r>
            <w:r w:rsidRPr="00C73EA3">
              <w:rPr>
                <w:rFonts w:ascii="PT Astra Serif" w:hAnsi="PT Astra Serif"/>
              </w:rPr>
              <w:t>Об утверждении Порядка определения объ</w:t>
            </w:r>
            <w:r>
              <w:rPr>
                <w:rFonts w:ascii="PT Astra Serif" w:hAnsi="PT Astra Serif"/>
              </w:rPr>
              <w:t>ё</w:t>
            </w:r>
            <w:r w:rsidRPr="00C73EA3">
              <w:rPr>
                <w:rFonts w:ascii="PT Astra Serif" w:hAnsi="PT Astra Serif"/>
              </w:rPr>
              <w:t>ма иных межбюджетных трансфертов, предоставляемых бюджетам муниципальных образований Пермского края на 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</w:t>
            </w:r>
            <w:r>
              <w:rPr>
                <w:rFonts w:ascii="PT Astra Serif" w:hAnsi="PT Astra Serif"/>
              </w:rPr>
              <w:t> </w:t>
            </w:r>
            <w:r w:rsidRPr="00C73EA3">
              <w:rPr>
                <w:rFonts w:ascii="PT Astra Serif" w:hAnsi="PT Astra Serif"/>
              </w:rPr>
              <w:t>перевозки на территории Пермского края отдельных категорий граждан с использованием социальных проездных документов, Порядка</w:t>
            </w:r>
            <w:proofErr w:type="gramEnd"/>
            <w:r w:rsidRPr="00C73EA3">
              <w:rPr>
                <w:rFonts w:ascii="PT Astra Serif" w:hAnsi="PT Astra Serif"/>
              </w:rPr>
              <w:t xml:space="preserve"> </w:t>
            </w:r>
            <w:proofErr w:type="gramStart"/>
            <w:r w:rsidRPr="00C73EA3">
              <w:rPr>
                <w:rFonts w:ascii="PT Astra Serif" w:hAnsi="PT Astra Serif"/>
              </w:rPr>
              <w:t>распределения доходов, полученных от</w:t>
            </w:r>
            <w:r>
              <w:rPr>
                <w:rFonts w:ascii="PT Astra Serif" w:hAnsi="PT Astra Serif"/>
              </w:rPr>
              <w:t> </w:t>
            </w:r>
            <w:r w:rsidRPr="00C73EA3">
              <w:rPr>
                <w:rFonts w:ascii="PT Astra Serif" w:hAnsi="PT Astra Serif"/>
              </w:rPr>
              <w:t xml:space="preserve">пополнения месячного транспортного ресурса электронных социальных проездных документов, Порядка предоставления иных межбюджетных трансфертов бюджетам муниципальных образований Пермского края на возмещение затрат, связанных </w:t>
            </w:r>
            <w:r w:rsidRPr="00C73EA3">
              <w:t>с</w:t>
            </w:r>
            <w:r>
              <w:t> </w:t>
            </w:r>
            <w:r w:rsidRPr="00C73EA3">
              <w:t>организацией</w:t>
            </w:r>
            <w:r w:rsidRPr="00C73EA3">
              <w:rPr>
                <w:rFonts w:ascii="PT Astra Serif" w:hAnsi="PT Astra Serif"/>
              </w:rPr>
              <w:t xml:space="preserve"> перевозки отдельных категорий граждан с</w:t>
            </w:r>
            <w:r>
              <w:rPr>
                <w:rFonts w:ascii="PT Astra Serif" w:hAnsi="PT Astra Serif"/>
              </w:rPr>
              <w:t> </w:t>
            </w:r>
            <w:r w:rsidRPr="00C73EA3">
              <w:rPr>
                <w:rFonts w:ascii="PT Astra Serif" w:hAnsi="PT Astra Serif"/>
              </w:rPr>
              <w:t xml:space="preserve">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</w:t>
            </w:r>
            <w:r w:rsidRPr="00C73EA3">
              <w:rPr>
                <w:rFonts w:ascii="PT Astra Serif" w:hAnsi="PT Astra Serif"/>
              </w:rPr>
              <w:lastRenderedPageBreak/>
              <w:t>отдельных категорий граждан с использованием электронных социальных проездных документов за сч</w:t>
            </w:r>
            <w:r>
              <w:rPr>
                <w:rFonts w:ascii="PT Astra Serif" w:hAnsi="PT Astra Serif"/>
              </w:rPr>
              <w:t>ё</w:t>
            </w:r>
            <w:r w:rsidRPr="00C73EA3">
              <w:rPr>
                <w:rFonts w:ascii="PT Astra Serif" w:hAnsi="PT Astra Serif"/>
              </w:rPr>
              <w:t>т средств</w:t>
            </w:r>
            <w:proofErr w:type="gramEnd"/>
            <w:r w:rsidRPr="00C73EA3">
              <w:rPr>
                <w:rFonts w:ascii="PT Astra Serif" w:hAnsi="PT Astra Serif"/>
              </w:rPr>
              <w:t xml:space="preserve"> бюджета Пермского края</w:t>
            </w:r>
            <w:r>
              <w:rPr>
                <w:rFonts w:ascii="PT Astra Serif" w:hAnsi="PT Astra Serif"/>
              </w:rPr>
              <w:t>»</w:t>
            </w:r>
            <w:r w:rsidRPr="00C73EA3">
              <w:rPr>
                <w:rFonts w:ascii="PT Astra Serif" w:hAnsi="PT Astra Serif"/>
              </w:rPr>
              <w:t xml:space="preserve"> 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C73EA3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Тульская область</w:t>
            </w:r>
          </w:p>
        </w:tc>
        <w:tc>
          <w:tcPr>
            <w:tcW w:w="6945" w:type="dxa"/>
          </w:tcPr>
          <w:p w:rsidR="00FB5CCB" w:rsidRPr="00163EC5" w:rsidRDefault="00794E21" w:rsidP="0057494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 xml:space="preserve">Постановление Правительства Тульской области </w:t>
            </w:r>
            <w:r w:rsidR="00C73EA3" w:rsidRPr="00C73EA3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0</w:t>
            </w:r>
            <w:r w:rsidR="00C73EA3" w:rsidRPr="00C73EA3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.05.</w:t>
            </w:r>
            <w:r w:rsidR="00C73EA3" w:rsidRPr="00C73EA3">
              <w:rPr>
                <w:rFonts w:ascii="PT Astra Serif" w:hAnsi="PT Astra Serif"/>
              </w:rPr>
              <w:t xml:space="preserve">2012 </w:t>
            </w:r>
            <w:r>
              <w:rPr>
                <w:rFonts w:ascii="PT Astra Serif" w:hAnsi="PT Astra Serif"/>
              </w:rPr>
              <w:t>№</w:t>
            </w:r>
            <w:r w:rsidR="00C73EA3" w:rsidRPr="00C73EA3">
              <w:rPr>
                <w:rFonts w:ascii="PT Astra Serif" w:hAnsi="PT Astra Serif"/>
              </w:rPr>
              <w:t xml:space="preserve"> 173</w:t>
            </w:r>
            <w:r>
              <w:rPr>
                <w:rFonts w:ascii="PT Astra Serif" w:hAnsi="PT Astra Serif"/>
              </w:rPr>
              <w:t xml:space="preserve"> «</w:t>
            </w:r>
            <w:r w:rsidR="00C73EA3" w:rsidRPr="00C73EA3">
              <w:rPr>
                <w:rFonts w:ascii="PT Astra Serif" w:hAnsi="PT Astra Serif"/>
              </w:rPr>
              <w:t>Об утверждении Порядков предоставления субсидий из</w:t>
            </w:r>
            <w:r>
              <w:rPr>
                <w:rFonts w:ascii="PT Astra Serif" w:hAnsi="PT Astra Serif"/>
              </w:rPr>
              <w:t> </w:t>
            </w:r>
            <w:r w:rsidR="00C73EA3" w:rsidRPr="00C73EA3">
              <w:rPr>
                <w:rFonts w:ascii="PT Astra Serif" w:hAnsi="PT Astra Serif"/>
              </w:rPr>
              <w:t>бюджета Тульской области транспортным организациям на</w:t>
            </w:r>
            <w:r>
              <w:rPr>
                <w:rFonts w:ascii="PT Astra Serif" w:hAnsi="PT Astra Serif"/>
              </w:rPr>
              <w:t> </w:t>
            </w:r>
            <w:r w:rsidR="00C73EA3" w:rsidRPr="00C73EA3">
              <w:rPr>
                <w:rFonts w:ascii="PT Astra Serif" w:hAnsi="PT Astra Serif"/>
              </w:rPr>
              <w:t>возмещение затрат или недополученных доходов, возникающих при перевозке пассажиров и багажа с посадкой и</w:t>
            </w:r>
            <w:r>
              <w:rPr>
                <w:rFonts w:ascii="PT Astra Serif" w:hAnsi="PT Astra Serif"/>
              </w:rPr>
              <w:t> </w:t>
            </w:r>
            <w:r w:rsidR="00C73EA3" w:rsidRPr="00C73EA3">
              <w:rPr>
                <w:rFonts w:ascii="PT Astra Serif" w:hAnsi="PT Astra Serif"/>
              </w:rPr>
              <w:t>высадкой пассажиров только в установленных остановочных пунктах по маршруту регулярных перевозок в результате регулирования тарифов на регулярные перевозки на</w:t>
            </w:r>
            <w:r w:rsidR="00574942">
              <w:rPr>
                <w:rFonts w:ascii="PT Astra Serif" w:hAnsi="PT Astra Serif"/>
              </w:rPr>
              <w:t> </w:t>
            </w:r>
            <w:r w:rsidR="00C73EA3" w:rsidRPr="00C73EA3">
              <w:rPr>
                <w:rFonts w:ascii="PT Astra Serif" w:hAnsi="PT Astra Serif"/>
              </w:rPr>
              <w:t>пригородных и межмуниципальных маршрутах в Тульской области и</w:t>
            </w:r>
            <w:proofErr w:type="gramEnd"/>
            <w:r w:rsidR="00C73EA3" w:rsidRPr="00C73EA3">
              <w:rPr>
                <w:rFonts w:ascii="PT Astra Serif" w:hAnsi="PT Astra Serif"/>
              </w:rPr>
              <w:t xml:space="preserve"> предоставления льгот отдельным категориям граждан по оплате услуг общественного транспорта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794E21" w:rsidP="00BA73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Воронежская область</w:t>
            </w:r>
          </w:p>
        </w:tc>
        <w:tc>
          <w:tcPr>
            <w:tcW w:w="6945" w:type="dxa"/>
          </w:tcPr>
          <w:p w:rsidR="00DD3706" w:rsidRPr="00163EC5" w:rsidRDefault="00794E21" w:rsidP="0057494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794E21">
              <w:rPr>
                <w:rFonts w:ascii="PT Astra Serif" w:hAnsi="PT Astra Serif"/>
              </w:rPr>
              <w:t>Постановление Правительства Воронежской области от</w:t>
            </w:r>
            <w:r w:rsidR="00574942">
              <w:rPr>
                <w:rFonts w:ascii="PT Astra Serif" w:hAnsi="PT Astra Serif"/>
              </w:rPr>
              <w:t> </w:t>
            </w:r>
            <w:r w:rsidRPr="00794E21">
              <w:rPr>
                <w:rFonts w:ascii="PT Astra Serif" w:hAnsi="PT Astra Serif"/>
              </w:rPr>
              <w:t>08</w:t>
            </w:r>
            <w:r>
              <w:rPr>
                <w:rFonts w:ascii="PT Astra Serif" w:hAnsi="PT Astra Serif"/>
              </w:rPr>
              <w:t>.04.</w:t>
            </w:r>
            <w:r w:rsidRPr="00794E21">
              <w:rPr>
                <w:rFonts w:ascii="PT Astra Serif" w:hAnsi="PT Astra Serif"/>
              </w:rPr>
              <w:t>2016 №</w:t>
            </w:r>
            <w:r>
              <w:rPr>
                <w:rFonts w:ascii="PT Astra Serif" w:hAnsi="PT Astra Serif"/>
              </w:rPr>
              <w:t xml:space="preserve"> </w:t>
            </w:r>
            <w:r w:rsidRPr="00794E21">
              <w:rPr>
                <w:rFonts w:ascii="PT Astra Serif" w:hAnsi="PT Astra Serif"/>
              </w:rPr>
              <w:t>223</w:t>
            </w:r>
            <w:r>
              <w:rPr>
                <w:rFonts w:ascii="PT Astra Serif" w:hAnsi="PT Astra Serif"/>
              </w:rPr>
              <w:t xml:space="preserve"> «</w:t>
            </w:r>
            <w:r w:rsidRPr="00794E21">
              <w:rPr>
                <w:rFonts w:ascii="PT Astra Serif" w:hAnsi="PT Astra Serif"/>
              </w:rPr>
              <w:t>Об утверждении Порядка предоставления субсидий из областного бюджета организациям автомобильного и железнодорожного транспорта, осуществляющим деятельность по перевозке пассажиров, на возмещение недополученных доходов при перевозке автомобильным и железнодорожным транспортом пригородного сообщения отдельных категорий граждан</w:t>
            </w:r>
            <w:r>
              <w:rPr>
                <w:rFonts w:ascii="PT Astra Serif" w:hAnsi="PT Astra Serif"/>
              </w:rPr>
              <w:t>»</w:t>
            </w:r>
            <w:r w:rsidRPr="00794E21">
              <w:rPr>
                <w:rFonts w:ascii="PT Astra Serif" w:hAnsi="PT Astra Serif"/>
              </w:rPr>
              <w:t xml:space="preserve"> 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163EC5" w:rsidRDefault="00022B46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Адыгея</w:t>
            </w:r>
          </w:p>
        </w:tc>
        <w:tc>
          <w:tcPr>
            <w:tcW w:w="6945" w:type="dxa"/>
          </w:tcPr>
          <w:p w:rsidR="00DD3706" w:rsidRPr="00163EC5" w:rsidRDefault="00022B46" w:rsidP="00022B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C5983">
              <w:rPr>
                <w:rFonts w:ascii="PT Astra Serif" w:hAnsi="PT Astra Serif"/>
              </w:rPr>
              <w:t>Постановление Кабинета Министров Республики Адыгея от</w:t>
            </w:r>
            <w:r>
              <w:rPr>
                <w:rFonts w:ascii="PT Astra Serif" w:hAnsi="PT Astra Serif"/>
              </w:rPr>
              <w:t> </w:t>
            </w:r>
            <w:r w:rsidRPr="00BC5983">
              <w:rPr>
                <w:rFonts w:ascii="PT Astra Serif" w:hAnsi="PT Astra Serif"/>
              </w:rPr>
              <w:t>31</w:t>
            </w:r>
            <w:r>
              <w:rPr>
                <w:rFonts w:ascii="PT Astra Serif" w:hAnsi="PT Astra Serif"/>
              </w:rPr>
              <w:t>.03.</w:t>
            </w:r>
            <w:r w:rsidRPr="00BC5983">
              <w:rPr>
                <w:rFonts w:ascii="PT Astra Serif" w:hAnsi="PT Astra Serif"/>
              </w:rPr>
              <w:t>2014 №</w:t>
            </w:r>
            <w:r>
              <w:rPr>
                <w:rFonts w:ascii="PT Astra Serif" w:hAnsi="PT Astra Serif"/>
              </w:rPr>
              <w:t xml:space="preserve"> </w:t>
            </w:r>
            <w:r w:rsidRPr="00BC5983">
              <w:rPr>
                <w:rFonts w:ascii="PT Astra Serif" w:hAnsi="PT Astra Serif"/>
              </w:rPr>
              <w:t>73</w:t>
            </w:r>
            <w:r>
              <w:rPr>
                <w:rFonts w:ascii="PT Astra Serif" w:hAnsi="PT Astra Serif"/>
              </w:rPr>
              <w:t xml:space="preserve"> «О</w:t>
            </w:r>
            <w:r w:rsidR="00BC5983" w:rsidRPr="00BC5983">
              <w:rPr>
                <w:rFonts w:ascii="PT Astra Serif" w:hAnsi="PT Astra Serif"/>
              </w:rPr>
              <w:t xml:space="preserve"> порядке предоставления субсидий на</w:t>
            </w:r>
            <w:r>
              <w:rPr>
                <w:rFonts w:ascii="PT Astra Serif" w:hAnsi="PT Astra Serif"/>
              </w:rPr>
              <w:t> </w:t>
            </w:r>
            <w:r w:rsidR="00BC5983" w:rsidRPr="00BC5983">
              <w:rPr>
                <w:rFonts w:ascii="PT Astra Serif" w:hAnsi="PT Astra Serif"/>
              </w:rPr>
              <w:t>возмещение транспортным организациям, осуществляющим перевозку пассажиров, недополученных доходов, связанных с</w:t>
            </w:r>
            <w:r>
              <w:rPr>
                <w:rFonts w:ascii="PT Astra Serif" w:hAnsi="PT Astra Serif"/>
              </w:rPr>
              <w:t> </w:t>
            </w:r>
            <w:r w:rsidR="00BC5983" w:rsidRPr="00BC5983">
              <w:rPr>
                <w:rFonts w:ascii="PT Astra Serif" w:hAnsi="PT Astra Serif"/>
              </w:rPr>
              <w:t xml:space="preserve">реализацией отдельным категориям граждан социальных проездных билетов на проезд в городском пассажирском транспорте (кроме такси) в городе </w:t>
            </w:r>
            <w:r>
              <w:rPr>
                <w:rFonts w:ascii="PT Astra Serif" w:hAnsi="PT Astra Serif"/>
              </w:rPr>
              <w:t>М</w:t>
            </w:r>
            <w:r w:rsidR="00BC5983" w:rsidRPr="00BC5983">
              <w:rPr>
                <w:rFonts w:ascii="PT Astra Serif" w:hAnsi="PT Astra Serif"/>
              </w:rPr>
              <w:t>айкопе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DD3706" w:rsidRPr="00163EC5" w:rsidTr="00DE23FF">
        <w:tc>
          <w:tcPr>
            <w:tcW w:w="2802" w:type="dxa"/>
          </w:tcPr>
          <w:p w:rsidR="00DD3706" w:rsidRPr="0050360F" w:rsidRDefault="00046000" w:rsidP="00DE23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Крым</w:t>
            </w:r>
          </w:p>
        </w:tc>
        <w:tc>
          <w:tcPr>
            <w:tcW w:w="6945" w:type="dxa"/>
          </w:tcPr>
          <w:p w:rsidR="00382330" w:rsidRPr="00163EC5" w:rsidRDefault="00046000" w:rsidP="0004600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Постановление Совета Министров Республики Крым </w:t>
            </w:r>
            <w:r w:rsidRPr="00046000"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</w:rPr>
              <w:t> </w:t>
            </w:r>
            <w:r w:rsidRPr="00046000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>.12.</w:t>
            </w:r>
            <w:r w:rsidRPr="00046000">
              <w:rPr>
                <w:rFonts w:ascii="PT Astra Serif" w:hAnsi="PT Astra Serif"/>
              </w:rPr>
              <w:t xml:space="preserve">2014 </w:t>
            </w:r>
            <w:r>
              <w:rPr>
                <w:rFonts w:ascii="PT Astra Serif" w:hAnsi="PT Astra Serif"/>
              </w:rPr>
              <w:t>№</w:t>
            </w:r>
            <w:r w:rsidRPr="00046000">
              <w:rPr>
                <w:rFonts w:ascii="PT Astra Serif" w:hAnsi="PT Astra Serif"/>
              </w:rPr>
              <w:t xml:space="preserve"> 575</w:t>
            </w:r>
            <w:r>
              <w:rPr>
                <w:rFonts w:ascii="PT Astra Serif" w:hAnsi="PT Astra Serif"/>
              </w:rPr>
              <w:t xml:space="preserve"> «</w:t>
            </w:r>
            <w:r w:rsidRPr="00046000">
              <w:rPr>
                <w:rFonts w:ascii="PT Astra Serif" w:hAnsi="PT Astra Serif"/>
              </w:rPr>
              <w:t>О Порядке предоставления отдельным</w:t>
            </w:r>
            <w:r>
              <w:rPr>
                <w:rFonts w:ascii="PT Astra Serif" w:hAnsi="PT Astra Serif"/>
              </w:rPr>
              <w:t xml:space="preserve"> </w:t>
            </w:r>
            <w:r w:rsidRPr="00046000">
              <w:rPr>
                <w:rFonts w:ascii="PT Astra Serif" w:hAnsi="PT Astra Serif"/>
              </w:rPr>
              <w:t>категориям граждан Республики Крым</w:t>
            </w:r>
            <w:r>
              <w:rPr>
                <w:rFonts w:ascii="PT Astra Serif" w:hAnsi="PT Astra Serif"/>
              </w:rPr>
              <w:t xml:space="preserve"> </w:t>
            </w:r>
            <w:r w:rsidRPr="00046000">
              <w:rPr>
                <w:rFonts w:ascii="PT Astra Serif" w:hAnsi="PT Astra Serif"/>
              </w:rPr>
              <w:t>мер социальной поддержки на льготный проезд</w:t>
            </w:r>
            <w:r>
              <w:rPr>
                <w:rFonts w:ascii="PT Astra Serif" w:hAnsi="PT Astra Serif"/>
              </w:rPr>
              <w:t xml:space="preserve"> </w:t>
            </w:r>
            <w:r w:rsidRPr="00046000">
              <w:rPr>
                <w:rFonts w:ascii="PT Astra Serif" w:hAnsi="PT Astra Serif"/>
              </w:rPr>
              <w:t>и Порядке возмещения юридическим</w:t>
            </w:r>
            <w:r>
              <w:rPr>
                <w:rFonts w:ascii="PT Astra Serif" w:hAnsi="PT Astra Serif"/>
              </w:rPr>
              <w:t xml:space="preserve"> </w:t>
            </w:r>
            <w:r w:rsidRPr="00046000">
              <w:rPr>
                <w:rFonts w:ascii="PT Astra Serif" w:hAnsi="PT Astra Serif"/>
              </w:rPr>
              <w:t>лицам и индивидуальным предпринимателям</w:t>
            </w:r>
            <w:r>
              <w:rPr>
                <w:rFonts w:ascii="PT Astra Serif" w:hAnsi="PT Astra Serif"/>
              </w:rPr>
              <w:t xml:space="preserve"> </w:t>
            </w:r>
            <w:r w:rsidRPr="00046000">
              <w:rPr>
                <w:rFonts w:ascii="PT Astra Serif" w:hAnsi="PT Astra Serif"/>
              </w:rPr>
              <w:t>недополученных доходов в связи с</w:t>
            </w:r>
            <w:r>
              <w:rPr>
                <w:rFonts w:ascii="PT Astra Serif" w:hAnsi="PT Astra Serif"/>
              </w:rPr>
              <w:t xml:space="preserve"> </w:t>
            </w:r>
            <w:r w:rsidRPr="00046000">
              <w:rPr>
                <w:rFonts w:ascii="PT Astra Serif" w:hAnsi="PT Astra Serif"/>
              </w:rPr>
              <w:t>предоставлением мер социальной</w:t>
            </w:r>
            <w:r>
              <w:rPr>
                <w:rFonts w:ascii="PT Astra Serif" w:hAnsi="PT Astra Serif"/>
              </w:rPr>
              <w:t xml:space="preserve"> </w:t>
            </w:r>
            <w:r w:rsidRPr="00046000">
              <w:rPr>
                <w:rFonts w:ascii="PT Astra Serif" w:hAnsi="PT Astra Serif"/>
              </w:rPr>
              <w:t>поддержки по льготному проезду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591E48" w:rsidRPr="00DA6C83" w:rsidRDefault="00CF7C75" w:rsidP="00591E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Стоит отметить, что </w:t>
      </w:r>
      <w:r w:rsidR="00046000">
        <w:rPr>
          <w:rFonts w:ascii="PT Astra Serif" w:hAnsi="PT Astra Serif"/>
          <w:sz w:val="28"/>
          <w:szCs w:val="28"/>
        </w:rPr>
        <w:t>в рассмотренных субъектах Российской Федерации применяется установленная формула для расчёта выпадающих доходов перевозчиков от перевозки льготных категорий граждан</w:t>
      </w:r>
      <w:r w:rsidR="00591E48" w:rsidRPr="00DA6C83">
        <w:rPr>
          <w:rFonts w:ascii="PT Astra Serif" w:hAnsi="PT Astra Serif"/>
          <w:sz w:val="28"/>
          <w:szCs w:val="28"/>
        </w:rPr>
        <w:t xml:space="preserve">. </w:t>
      </w:r>
    </w:p>
    <w:p w:rsidR="00CF7C75" w:rsidRDefault="00CF7C75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96525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02310" w:rsidRDefault="0059466C" w:rsidP="001B051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FA459A"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/>
          <w:sz w:val="28"/>
          <w:szCs w:val="28"/>
        </w:rPr>
        <w:t xml:space="preserve"> разработчика акта,</w:t>
      </w:r>
      <w:r w:rsidR="00C96BDC">
        <w:rPr>
          <w:rFonts w:ascii="PT Astra Serif" w:hAnsi="PT Astra Serif"/>
          <w:sz w:val="28"/>
          <w:szCs w:val="28"/>
        </w:rPr>
        <w:t xml:space="preserve"> </w:t>
      </w:r>
      <w:r w:rsidR="001C0E5E">
        <w:rPr>
          <w:rFonts w:ascii="PT Astra Serif" w:hAnsi="PT Astra Serif"/>
          <w:sz w:val="28"/>
          <w:szCs w:val="28"/>
        </w:rPr>
        <w:t>реализация</w:t>
      </w:r>
      <w:r w:rsidR="007372E1">
        <w:rPr>
          <w:rFonts w:ascii="PT Astra Serif" w:hAnsi="PT Astra Serif"/>
          <w:sz w:val="28"/>
          <w:szCs w:val="28"/>
        </w:rPr>
        <w:t xml:space="preserve"> проекта акта</w:t>
      </w:r>
      <w:r w:rsidR="001C0E5E">
        <w:rPr>
          <w:rFonts w:ascii="PT Astra Serif" w:hAnsi="PT Astra Serif"/>
          <w:sz w:val="28"/>
          <w:szCs w:val="28"/>
        </w:rPr>
        <w:t xml:space="preserve"> потребует выделения дополнительных финансовых средств из областного бюджета Ульяновской области в размере </w:t>
      </w:r>
      <w:r w:rsidR="001C0E5E" w:rsidRPr="008E0A7E">
        <w:rPr>
          <w:rFonts w:ascii="PT Astra Serif" w:hAnsi="PT Astra Serif"/>
          <w:b/>
          <w:sz w:val="28"/>
          <w:szCs w:val="28"/>
        </w:rPr>
        <w:t>91 439,1 тыс. рублей на 2020 год</w:t>
      </w:r>
      <w:r w:rsidR="00502310" w:rsidRPr="008E0A7E">
        <w:rPr>
          <w:rFonts w:ascii="PT Astra Serif" w:hAnsi="PT Astra Serif"/>
          <w:b/>
          <w:sz w:val="28"/>
          <w:szCs w:val="28"/>
        </w:rPr>
        <w:t>.</w:t>
      </w:r>
    </w:p>
    <w:p w:rsidR="001C0E5E" w:rsidRDefault="001C0E5E" w:rsidP="001B051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Расчёт </w:t>
      </w:r>
      <w:r w:rsidR="008E0A7E">
        <w:rPr>
          <w:rFonts w:ascii="PT Astra Serif" w:hAnsi="PT Astra Serif"/>
          <w:sz w:val="28"/>
          <w:szCs w:val="28"/>
        </w:rPr>
        <w:t xml:space="preserve">потребности </w:t>
      </w:r>
      <w:r>
        <w:rPr>
          <w:rFonts w:ascii="PT Astra Serif" w:hAnsi="PT Astra Serif"/>
          <w:sz w:val="28"/>
          <w:szCs w:val="28"/>
        </w:rPr>
        <w:t>дополнительных сре</w:t>
      </w:r>
      <w:proofErr w:type="gramStart"/>
      <w:r>
        <w:rPr>
          <w:rFonts w:ascii="PT Astra Serif" w:hAnsi="PT Astra Serif"/>
          <w:sz w:val="28"/>
          <w:szCs w:val="28"/>
        </w:rPr>
        <w:t>дств дл</w:t>
      </w:r>
      <w:proofErr w:type="gramEnd"/>
      <w:r>
        <w:rPr>
          <w:rFonts w:ascii="PT Astra Serif" w:hAnsi="PT Astra Serif"/>
          <w:sz w:val="28"/>
          <w:szCs w:val="28"/>
        </w:rPr>
        <w:t>я реализации проекта акта осуществлялся на основании данных, предоставленных организациями, осуществляющими перевозку пассажиров на</w:t>
      </w:r>
      <w:r w:rsidR="008E0A7E">
        <w:rPr>
          <w:rFonts w:ascii="PT Astra Serif" w:hAnsi="PT Astra Serif"/>
          <w:sz w:val="28"/>
          <w:szCs w:val="28"/>
        </w:rPr>
        <w:t xml:space="preserve"> территории Ульяновской области</w:t>
      </w:r>
      <w:r w:rsidR="00D45110">
        <w:rPr>
          <w:rFonts w:ascii="PT Astra Serif" w:hAnsi="PT Astra Serif"/>
          <w:sz w:val="28"/>
          <w:szCs w:val="28"/>
        </w:rPr>
        <w:t>, за 2018-2019 года</w:t>
      </w:r>
      <w:r w:rsidR="008E0A7E">
        <w:rPr>
          <w:rFonts w:ascii="PT Astra Serif" w:hAnsi="PT Astra Serif"/>
          <w:sz w:val="28"/>
          <w:szCs w:val="28"/>
        </w:rPr>
        <w:t>.</w:t>
      </w:r>
    </w:p>
    <w:p w:rsidR="008E0A7E" w:rsidRDefault="008E0A7E" w:rsidP="001B051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Потребность в средствах для возмещения перевозчикам за перевозку льготных категорий граждан составляет </w:t>
      </w:r>
      <w:r w:rsidRPr="008E0A7E">
        <w:rPr>
          <w:rFonts w:ascii="PT Astra Serif" w:hAnsi="PT Astra Serif"/>
          <w:b/>
          <w:sz w:val="28"/>
          <w:szCs w:val="28"/>
        </w:rPr>
        <w:t>211 079 430 руб. в год</w:t>
      </w:r>
      <w:r>
        <w:rPr>
          <w:rFonts w:ascii="PT Astra Serif" w:hAnsi="PT Astra Serif"/>
          <w:sz w:val="28"/>
          <w:szCs w:val="28"/>
        </w:rPr>
        <w:t>, и</w:t>
      </w:r>
      <w:r w:rsidR="009D0A88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 xml:space="preserve"> них:</w:t>
      </w:r>
    </w:p>
    <w:p w:rsidR="008E0A7E" w:rsidRDefault="008E0A7E" w:rsidP="001B051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федеральных льготников – </w:t>
      </w:r>
      <w:r w:rsidRPr="008E0A7E">
        <w:rPr>
          <w:rFonts w:ascii="PT Astra Serif" w:hAnsi="PT Astra Serif"/>
          <w:b/>
          <w:sz w:val="28"/>
          <w:szCs w:val="28"/>
        </w:rPr>
        <w:t>82 869 500 руб.</w:t>
      </w:r>
      <w:r>
        <w:rPr>
          <w:rFonts w:ascii="PT Astra Serif" w:hAnsi="PT Astra Serif"/>
          <w:sz w:val="28"/>
          <w:szCs w:val="28"/>
        </w:rPr>
        <w:t>;</w:t>
      </w:r>
    </w:p>
    <w:p w:rsidR="008E0A7E" w:rsidRDefault="008E0A7E" w:rsidP="001B051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на региональных льготников – </w:t>
      </w:r>
      <w:r w:rsidRPr="008E0A7E">
        <w:rPr>
          <w:rFonts w:ascii="PT Astra Serif" w:hAnsi="PT Astra Serif"/>
          <w:b/>
          <w:sz w:val="28"/>
          <w:szCs w:val="28"/>
        </w:rPr>
        <w:t>128 209 930 руб.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0A7E">
        <w:rPr>
          <w:rFonts w:ascii="PT Astra Serif" w:hAnsi="PT Astra Serif"/>
          <w:sz w:val="28"/>
          <w:szCs w:val="28"/>
        </w:rPr>
        <w:t>Среднее количество приобретаемых единых месячных социальных билетов (далее – ЕСБ) в месяц</w:t>
      </w:r>
      <w:r w:rsidR="00D45110">
        <w:rPr>
          <w:rFonts w:ascii="PT Astra Serif" w:hAnsi="PT Astra Serif"/>
          <w:sz w:val="28"/>
          <w:szCs w:val="28"/>
        </w:rPr>
        <w:t xml:space="preserve"> составляет</w:t>
      </w:r>
      <w:r w:rsidRPr="008E0A7E">
        <w:rPr>
          <w:rFonts w:ascii="PT Astra Serif" w:hAnsi="PT Astra Serif"/>
          <w:sz w:val="28"/>
          <w:szCs w:val="28"/>
        </w:rPr>
        <w:t>: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E0A7E">
        <w:rPr>
          <w:rFonts w:ascii="PT Astra Serif" w:hAnsi="PT Astra Serif"/>
          <w:sz w:val="28"/>
          <w:szCs w:val="28"/>
        </w:rPr>
        <w:t>федеральные льготники – 5</w:t>
      </w:r>
      <w:r>
        <w:rPr>
          <w:rFonts w:ascii="PT Astra Serif" w:hAnsi="PT Astra Serif"/>
          <w:sz w:val="28"/>
          <w:szCs w:val="28"/>
        </w:rPr>
        <w:t xml:space="preserve"> </w:t>
      </w:r>
      <w:r w:rsidRPr="008E0A7E">
        <w:rPr>
          <w:rFonts w:ascii="PT Astra Serif" w:hAnsi="PT Astra Serif"/>
          <w:sz w:val="28"/>
          <w:szCs w:val="28"/>
        </w:rPr>
        <w:t>252 шт.</w:t>
      </w:r>
      <w:r>
        <w:rPr>
          <w:rFonts w:ascii="PT Astra Serif" w:hAnsi="PT Astra Serif"/>
          <w:sz w:val="28"/>
          <w:szCs w:val="28"/>
        </w:rPr>
        <w:t>;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E0A7E">
        <w:rPr>
          <w:rFonts w:ascii="PT Astra Serif" w:hAnsi="PT Astra Serif"/>
          <w:sz w:val="28"/>
          <w:szCs w:val="28"/>
        </w:rPr>
        <w:t>региональные льготники – 10</w:t>
      </w:r>
      <w:r>
        <w:rPr>
          <w:rFonts w:ascii="PT Astra Serif" w:hAnsi="PT Astra Serif"/>
          <w:sz w:val="28"/>
          <w:szCs w:val="28"/>
        </w:rPr>
        <w:t xml:space="preserve"> </w:t>
      </w:r>
      <w:r w:rsidRPr="008E0A7E">
        <w:rPr>
          <w:rFonts w:ascii="PT Astra Serif" w:hAnsi="PT Astra Serif"/>
          <w:sz w:val="28"/>
          <w:szCs w:val="28"/>
        </w:rPr>
        <w:t>797 шт.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0A7E">
        <w:rPr>
          <w:rFonts w:ascii="PT Astra Serif" w:hAnsi="PT Astra Serif"/>
          <w:sz w:val="28"/>
          <w:szCs w:val="28"/>
        </w:rPr>
        <w:t>Стоимость ЕСБ составляет 300 руб., средства, полученные от реализации ЕСБ (за минусом 8% от стоимости продаж перечисляются перевозчику):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Pr="008E0A7E">
        <w:rPr>
          <w:rFonts w:ascii="PT Astra Serif" w:hAnsi="PT Astra Serif"/>
          <w:sz w:val="28"/>
          <w:szCs w:val="28"/>
        </w:rPr>
        <w:t xml:space="preserve">редства, полученные от реализации ЕСБ федеральным льготникам: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8E0A7E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 xml:space="preserve"> </w:t>
      </w:r>
      <w:r w:rsidRPr="008E0A7E">
        <w:rPr>
          <w:rFonts w:ascii="PT Astra Serif" w:hAnsi="PT Astra Serif"/>
          <w:sz w:val="28"/>
          <w:szCs w:val="28"/>
        </w:rPr>
        <w:t>252*300*12 - 8%=</w:t>
      </w:r>
      <w:r w:rsidRPr="008E0A7E">
        <w:rPr>
          <w:rFonts w:ascii="PT Astra Serif" w:hAnsi="PT Astra Serif"/>
          <w:b/>
          <w:sz w:val="28"/>
          <w:szCs w:val="28"/>
        </w:rPr>
        <w:t>17 394 624 руб.</w:t>
      </w:r>
      <w:r>
        <w:rPr>
          <w:rFonts w:ascii="PT Astra Serif" w:hAnsi="PT Astra Serif"/>
          <w:sz w:val="28"/>
          <w:szCs w:val="28"/>
        </w:rPr>
        <w:t>;</w:t>
      </w:r>
      <w:r w:rsidRPr="008E0A7E">
        <w:rPr>
          <w:rFonts w:ascii="PT Astra Serif" w:hAnsi="PT Astra Serif"/>
          <w:sz w:val="28"/>
          <w:szCs w:val="28"/>
        </w:rPr>
        <w:t xml:space="preserve"> 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</w:t>
      </w:r>
      <w:r w:rsidRPr="008E0A7E">
        <w:rPr>
          <w:rFonts w:ascii="PT Astra Serif" w:hAnsi="PT Astra Serif"/>
          <w:sz w:val="28"/>
          <w:szCs w:val="28"/>
        </w:rPr>
        <w:t xml:space="preserve">редства, полученные от реализации ЕСБ региональным льготникам: 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8E0A7E">
        <w:rPr>
          <w:rFonts w:ascii="PT Astra Serif" w:hAnsi="PT Astra Serif"/>
          <w:sz w:val="28"/>
          <w:szCs w:val="28"/>
        </w:rPr>
        <w:t>10</w:t>
      </w:r>
      <w:r>
        <w:rPr>
          <w:rFonts w:ascii="PT Astra Serif" w:hAnsi="PT Astra Serif"/>
          <w:sz w:val="28"/>
          <w:szCs w:val="28"/>
        </w:rPr>
        <w:t xml:space="preserve"> </w:t>
      </w:r>
      <w:r w:rsidRPr="008E0A7E">
        <w:rPr>
          <w:rFonts w:ascii="PT Astra Serif" w:hAnsi="PT Astra Serif"/>
          <w:sz w:val="28"/>
          <w:szCs w:val="28"/>
        </w:rPr>
        <w:t xml:space="preserve">797*300*12 – 8% = </w:t>
      </w:r>
      <w:r w:rsidRPr="008E0A7E">
        <w:rPr>
          <w:rFonts w:ascii="PT Astra Serif" w:hAnsi="PT Astra Serif"/>
          <w:b/>
          <w:sz w:val="28"/>
          <w:szCs w:val="28"/>
        </w:rPr>
        <w:t>35 759 664 руб.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0A7E">
        <w:rPr>
          <w:rFonts w:ascii="PT Astra Serif" w:hAnsi="PT Astra Serif"/>
          <w:sz w:val="28"/>
          <w:szCs w:val="28"/>
        </w:rPr>
        <w:t>В 2019 году расч</w:t>
      </w:r>
      <w:r>
        <w:rPr>
          <w:rFonts w:ascii="PT Astra Serif" w:hAnsi="PT Astra Serif"/>
          <w:sz w:val="28"/>
          <w:szCs w:val="28"/>
        </w:rPr>
        <w:t>ё</w:t>
      </w:r>
      <w:r w:rsidRPr="008E0A7E">
        <w:rPr>
          <w:rFonts w:ascii="PT Astra Serif" w:hAnsi="PT Astra Serif"/>
          <w:sz w:val="28"/>
          <w:szCs w:val="28"/>
        </w:rPr>
        <w:t>т потребности денежных сре</w:t>
      </w:r>
      <w:proofErr w:type="gramStart"/>
      <w:r w:rsidRPr="008E0A7E">
        <w:rPr>
          <w:rFonts w:ascii="PT Astra Serif" w:hAnsi="PT Astra Serif"/>
          <w:sz w:val="28"/>
          <w:szCs w:val="28"/>
        </w:rPr>
        <w:t>дств дл</w:t>
      </w:r>
      <w:proofErr w:type="gramEnd"/>
      <w:r w:rsidRPr="008E0A7E">
        <w:rPr>
          <w:rFonts w:ascii="PT Astra Serif" w:hAnsi="PT Astra Serif"/>
          <w:sz w:val="28"/>
          <w:szCs w:val="28"/>
        </w:rPr>
        <w:t>я возмещения выпадающих доходов перевозчикам составил: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E0A7E">
        <w:rPr>
          <w:rFonts w:ascii="PT Astra Serif" w:hAnsi="PT Astra Serif"/>
          <w:sz w:val="28"/>
          <w:szCs w:val="28"/>
        </w:rPr>
        <w:t xml:space="preserve">за проезд федеральных льготников – </w:t>
      </w:r>
      <w:r w:rsidRPr="008E0A7E">
        <w:rPr>
          <w:rFonts w:ascii="PT Astra Serif" w:hAnsi="PT Astra Serif"/>
          <w:b/>
          <w:sz w:val="28"/>
          <w:szCs w:val="28"/>
        </w:rPr>
        <w:t>21 000</w:t>
      </w:r>
      <w:r>
        <w:rPr>
          <w:rFonts w:ascii="PT Astra Serif" w:hAnsi="PT Astra Serif"/>
          <w:b/>
          <w:sz w:val="28"/>
          <w:szCs w:val="28"/>
        </w:rPr>
        <w:t> </w:t>
      </w:r>
      <w:r w:rsidRPr="008E0A7E">
        <w:rPr>
          <w:rFonts w:ascii="PT Astra Serif" w:hAnsi="PT Astra Serif"/>
          <w:b/>
          <w:sz w:val="28"/>
          <w:szCs w:val="28"/>
        </w:rPr>
        <w:t>000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8E0A7E">
        <w:rPr>
          <w:rFonts w:ascii="PT Astra Serif" w:hAnsi="PT Astra Serif"/>
          <w:b/>
          <w:sz w:val="28"/>
          <w:szCs w:val="28"/>
        </w:rPr>
        <w:t>руб.</w:t>
      </w:r>
      <w:r>
        <w:rPr>
          <w:rFonts w:ascii="PT Astra Serif" w:hAnsi="PT Astra Serif"/>
          <w:sz w:val="28"/>
          <w:szCs w:val="28"/>
        </w:rPr>
        <w:t>;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E0A7E">
        <w:rPr>
          <w:rFonts w:ascii="PT Astra Serif" w:hAnsi="PT Astra Serif"/>
          <w:sz w:val="28"/>
          <w:szCs w:val="28"/>
        </w:rPr>
        <w:t xml:space="preserve">за проезд региональных льготников </w:t>
      </w:r>
      <w:r>
        <w:rPr>
          <w:rFonts w:ascii="PT Astra Serif" w:hAnsi="PT Astra Serif"/>
          <w:sz w:val="28"/>
          <w:szCs w:val="28"/>
        </w:rPr>
        <w:t xml:space="preserve">– </w:t>
      </w:r>
      <w:r w:rsidRPr="008E0A7E">
        <w:rPr>
          <w:rFonts w:ascii="PT Astra Serif" w:hAnsi="PT Astra Serif"/>
          <w:b/>
          <w:sz w:val="28"/>
          <w:szCs w:val="28"/>
        </w:rPr>
        <w:t>45 486</w:t>
      </w:r>
      <w:r>
        <w:rPr>
          <w:rFonts w:ascii="PT Astra Serif" w:hAnsi="PT Astra Serif"/>
          <w:b/>
          <w:sz w:val="28"/>
          <w:szCs w:val="28"/>
        </w:rPr>
        <w:t> </w:t>
      </w:r>
      <w:r w:rsidRPr="008E0A7E">
        <w:rPr>
          <w:rFonts w:ascii="PT Astra Serif" w:hAnsi="PT Astra Serif"/>
          <w:b/>
          <w:sz w:val="28"/>
          <w:szCs w:val="28"/>
        </w:rPr>
        <w:t>000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8E0A7E">
        <w:rPr>
          <w:rFonts w:ascii="PT Astra Serif" w:hAnsi="PT Astra Serif"/>
          <w:b/>
          <w:sz w:val="28"/>
          <w:szCs w:val="28"/>
        </w:rPr>
        <w:t>руб.</w:t>
      </w:r>
      <w:r w:rsidRPr="008E0A7E">
        <w:rPr>
          <w:rFonts w:ascii="PT Astra Serif" w:hAnsi="PT Astra Serif"/>
          <w:sz w:val="28"/>
          <w:szCs w:val="28"/>
        </w:rPr>
        <w:t xml:space="preserve">   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0A7E">
        <w:rPr>
          <w:rFonts w:ascii="PT Astra Serif" w:hAnsi="PT Astra Serif"/>
          <w:sz w:val="28"/>
          <w:szCs w:val="28"/>
        </w:rPr>
        <w:t>Расч</w:t>
      </w:r>
      <w:r>
        <w:rPr>
          <w:rFonts w:ascii="PT Astra Serif" w:hAnsi="PT Astra Serif"/>
          <w:sz w:val="28"/>
          <w:szCs w:val="28"/>
        </w:rPr>
        <w:t>ё</w:t>
      </w:r>
      <w:r w:rsidRPr="008E0A7E">
        <w:rPr>
          <w:rFonts w:ascii="PT Astra Serif" w:hAnsi="PT Astra Serif"/>
          <w:sz w:val="28"/>
          <w:szCs w:val="28"/>
        </w:rPr>
        <w:t>т дополнительных средств: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E0A7E">
        <w:rPr>
          <w:rFonts w:ascii="PT Astra Serif" w:hAnsi="PT Astra Serif"/>
          <w:sz w:val="28"/>
          <w:szCs w:val="28"/>
        </w:rPr>
        <w:t>федеральные льготники: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0A7E">
        <w:rPr>
          <w:rFonts w:ascii="PT Astra Serif" w:hAnsi="PT Astra Serif"/>
          <w:sz w:val="28"/>
          <w:szCs w:val="28"/>
        </w:rPr>
        <w:t xml:space="preserve">82 869 500 – 17 394 624 – 21 000 000 = </w:t>
      </w:r>
      <w:r w:rsidRPr="008E0A7E">
        <w:rPr>
          <w:rFonts w:ascii="PT Astra Serif" w:hAnsi="PT Astra Serif"/>
          <w:b/>
          <w:sz w:val="28"/>
          <w:szCs w:val="28"/>
        </w:rPr>
        <w:t>44 474 876 руб.</w:t>
      </w:r>
      <w:r>
        <w:rPr>
          <w:rFonts w:ascii="PT Astra Serif" w:hAnsi="PT Astra Serif"/>
          <w:sz w:val="28"/>
          <w:szCs w:val="28"/>
        </w:rPr>
        <w:t>;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E0A7E">
        <w:rPr>
          <w:rFonts w:ascii="PT Astra Serif" w:hAnsi="PT Astra Serif"/>
          <w:sz w:val="28"/>
          <w:szCs w:val="28"/>
        </w:rPr>
        <w:t>региональные льготники:</w:t>
      </w:r>
    </w:p>
    <w:p w:rsidR="008E0A7E" w:rsidRPr="008E0A7E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0A7E">
        <w:rPr>
          <w:rFonts w:ascii="PT Astra Serif" w:hAnsi="PT Astra Serif"/>
          <w:sz w:val="28"/>
          <w:szCs w:val="28"/>
        </w:rPr>
        <w:t xml:space="preserve">128 209 930 – 35 759 664 – 45 486 000 = </w:t>
      </w:r>
      <w:r w:rsidRPr="008E0A7E">
        <w:rPr>
          <w:rFonts w:ascii="PT Astra Serif" w:hAnsi="PT Astra Serif"/>
          <w:b/>
          <w:sz w:val="28"/>
          <w:szCs w:val="28"/>
        </w:rPr>
        <w:t>46 964 266 руб.</w:t>
      </w:r>
    </w:p>
    <w:p w:rsidR="008E0A7E" w:rsidRPr="00FA459A" w:rsidRDefault="008E0A7E" w:rsidP="008E0A7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Таким образом, всего потребуется дополнительных средств –                             </w:t>
      </w:r>
      <w:r w:rsidRPr="008E0A7E">
        <w:rPr>
          <w:rFonts w:ascii="PT Astra Serif" w:hAnsi="PT Astra Serif"/>
          <w:b/>
          <w:sz w:val="28"/>
          <w:szCs w:val="28"/>
        </w:rPr>
        <w:t>91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8E0A7E">
        <w:rPr>
          <w:rFonts w:ascii="PT Astra Serif" w:hAnsi="PT Astra Serif"/>
          <w:b/>
          <w:sz w:val="28"/>
          <w:szCs w:val="28"/>
        </w:rPr>
        <w:t>439 142 руб.</w:t>
      </w:r>
    </w:p>
    <w:p w:rsidR="005E7D9A" w:rsidRDefault="005E7D9A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Согласно проекту акта обязательным условием предоставления компенсации выпадающих доходов перевозчикам, осуществляющим перевозку отдельных категорий граждан, является наличие у перевозчика договорных отношений, в части учёта оплаты проезда, с организацией</w:t>
      </w:r>
      <w:r w:rsidR="00FF439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обеспечивающей работу АСУОП, либо наличие у перевозчика договорных отношений с</w:t>
      </w:r>
      <w:r w:rsidR="00051DB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владельцами объектов транспортной инфраструктуры, расположенных на</w:t>
      </w:r>
      <w:r w:rsidR="00051DB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территории Ульяновской области, в части учёта оплат</w:t>
      </w:r>
      <w:r w:rsidR="009D0A88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проезда, и</w:t>
      </w:r>
      <w:r w:rsidR="00051DB9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обеспечивающих предоставление оператору АСУОП</w:t>
      </w:r>
      <w:r w:rsidR="00051DB9">
        <w:rPr>
          <w:rFonts w:ascii="PT Astra Serif" w:hAnsi="PT Astra Serif"/>
          <w:sz w:val="28"/>
          <w:szCs w:val="28"/>
        </w:rPr>
        <w:t xml:space="preserve"> сведений о размерах</w:t>
      </w:r>
      <w:proofErr w:type="gramEnd"/>
      <w:r w:rsidR="00051DB9">
        <w:rPr>
          <w:rFonts w:ascii="PT Astra Serif" w:hAnsi="PT Astra Serif"/>
          <w:sz w:val="28"/>
          <w:szCs w:val="28"/>
        </w:rPr>
        <w:t xml:space="preserve"> стоимости проезда и количестве осуществлённых поездок за календарный месяц федеральными и региональными льготниками.</w:t>
      </w:r>
    </w:p>
    <w:p w:rsidR="00051DB9" w:rsidRDefault="00051DB9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Размер компенсации выпадающих доходов перевозчикам, осуществляющим перевозку федеральных и региональных льготников, будет определяться по каждому перевозчику на основании данных АСУОП, полученных исходя из установленного размера стоимости проезда и количества осуществлённых поездок за календарный месяц, предоставляемых оператором АСУОП в уполномоченный орган.</w:t>
      </w:r>
    </w:p>
    <w:p w:rsidR="00051DB9" w:rsidRDefault="00C17996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связи с этим</w:t>
      </w:r>
      <w:r w:rsidR="00051DB9">
        <w:rPr>
          <w:rFonts w:ascii="PT Astra Serif" w:hAnsi="PT Astra Serif"/>
          <w:sz w:val="28"/>
          <w:szCs w:val="28"/>
        </w:rPr>
        <w:t xml:space="preserve"> у перевозчика возникает обязанность по заключению договора с организацией</w:t>
      </w:r>
      <w:r w:rsidR="00FF439E">
        <w:rPr>
          <w:rFonts w:ascii="PT Astra Serif" w:hAnsi="PT Astra Serif"/>
          <w:sz w:val="28"/>
          <w:szCs w:val="28"/>
        </w:rPr>
        <w:t>,</w:t>
      </w:r>
      <w:r w:rsidR="00051DB9">
        <w:rPr>
          <w:rFonts w:ascii="PT Astra Serif" w:hAnsi="PT Astra Serif"/>
          <w:sz w:val="28"/>
          <w:szCs w:val="28"/>
        </w:rPr>
        <w:t xml:space="preserve"> обеспечивающей работу АСУОП</w:t>
      </w:r>
      <w:r w:rsidR="00FF439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и установке контрольно-кассовой техники</w:t>
      </w:r>
      <w:r w:rsidR="00051DB9">
        <w:rPr>
          <w:rFonts w:ascii="PT Astra Serif" w:hAnsi="PT Astra Serif"/>
          <w:sz w:val="28"/>
          <w:szCs w:val="28"/>
        </w:rPr>
        <w:t xml:space="preserve">. </w:t>
      </w:r>
      <w:r w:rsidR="00956F54">
        <w:rPr>
          <w:rFonts w:ascii="PT Astra Serif" w:hAnsi="PT Astra Serif"/>
          <w:sz w:val="28"/>
          <w:szCs w:val="28"/>
        </w:rPr>
        <w:t>При этом согласно пункту</w:t>
      </w:r>
      <w:r w:rsidR="00051DB9">
        <w:rPr>
          <w:rFonts w:ascii="PT Astra Serif" w:hAnsi="PT Astra Serif"/>
          <w:sz w:val="28"/>
          <w:szCs w:val="28"/>
        </w:rPr>
        <w:t xml:space="preserve"> </w:t>
      </w:r>
      <w:r w:rsidR="00956F54" w:rsidRPr="00956F54">
        <w:rPr>
          <w:rFonts w:ascii="PT Astra Serif" w:hAnsi="PT Astra Serif"/>
          <w:sz w:val="28"/>
          <w:szCs w:val="28"/>
        </w:rPr>
        <w:t>5</w:t>
      </w:r>
      <w:r w:rsidR="00956F54">
        <w:rPr>
          <w:rFonts w:ascii="PT Astra Serif" w:hAnsi="PT Astra Serif"/>
          <w:sz w:val="28"/>
          <w:szCs w:val="28"/>
        </w:rPr>
        <w:t>.</w:t>
      </w:r>
      <w:r w:rsidR="00956F54" w:rsidRPr="00956F54">
        <w:rPr>
          <w:rFonts w:ascii="PT Astra Serif" w:hAnsi="PT Astra Serif"/>
          <w:sz w:val="28"/>
          <w:szCs w:val="28"/>
        </w:rPr>
        <w:t xml:space="preserve">9. </w:t>
      </w:r>
      <w:proofErr w:type="gramStart"/>
      <w:r w:rsidR="00956F54">
        <w:rPr>
          <w:rFonts w:ascii="PT Astra Serif" w:hAnsi="PT Astra Serif"/>
          <w:sz w:val="28"/>
          <w:szCs w:val="28"/>
        </w:rPr>
        <w:t>Федерального закона от 22.05.2003 № 54-ФЗ «</w:t>
      </w:r>
      <w:r w:rsidR="00956F54" w:rsidRPr="00956F54">
        <w:rPr>
          <w:rFonts w:ascii="PT Astra Serif" w:hAnsi="PT Astra Serif"/>
          <w:sz w:val="28"/>
          <w:szCs w:val="28"/>
        </w:rPr>
        <w:t xml:space="preserve">О применении контрольно-кассовой техники </w:t>
      </w:r>
      <w:r w:rsidR="00956F54" w:rsidRPr="00956F54">
        <w:rPr>
          <w:rFonts w:ascii="PT Astra Serif" w:hAnsi="PT Astra Serif"/>
          <w:sz w:val="28"/>
          <w:szCs w:val="28"/>
        </w:rPr>
        <w:lastRenderedPageBreak/>
        <w:t>при осуществлении расч</w:t>
      </w:r>
      <w:r w:rsidR="00956F54">
        <w:rPr>
          <w:rFonts w:ascii="PT Astra Serif" w:hAnsi="PT Astra Serif"/>
          <w:sz w:val="28"/>
          <w:szCs w:val="28"/>
        </w:rPr>
        <w:t>ё</w:t>
      </w:r>
      <w:r w:rsidR="00956F54" w:rsidRPr="00956F54">
        <w:rPr>
          <w:rFonts w:ascii="PT Astra Serif" w:hAnsi="PT Astra Serif"/>
          <w:sz w:val="28"/>
          <w:szCs w:val="28"/>
        </w:rPr>
        <w:t>тов в Российской Федерации</w:t>
      </w:r>
      <w:r w:rsidR="00956F54">
        <w:rPr>
          <w:rFonts w:ascii="PT Astra Serif" w:hAnsi="PT Astra Serif"/>
          <w:sz w:val="28"/>
          <w:szCs w:val="28"/>
        </w:rPr>
        <w:t>»</w:t>
      </w:r>
      <w:r w:rsidR="00956F54" w:rsidRPr="00956F54">
        <w:rPr>
          <w:rFonts w:ascii="PT Astra Serif" w:hAnsi="PT Astra Serif"/>
          <w:sz w:val="28"/>
          <w:szCs w:val="28"/>
        </w:rPr>
        <w:t xml:space="preserve"> </w:t>
      </w:r>
      <w:r w:rsidR="00956F54">
        <w:rPr>
          <w:rFonts w:ascii="PT Astra Serif" w:hAnsi="PT Astra Serif"/>
          <w:sz w:val="28"/>
          <w:szCs w:val="28"/>
        </w:rPr>
        <w:t>п</w:t>
      </w:r>
      <w:r w:rsidR="00956F54" w:rsidRPr="00956F54">
        <w:rPr>
          <w:rFonts w:ascii="PT Astra Serif" w:hAnsi="PT Astra Serif"/>
          <w:sz w:val="28"/>
          <w:szCs w:val="28"/>
        </w:rPr>
        <w:t>ри осуществлении расч</w:t>
      </w:r>
      <w:r w:rsidR="00956F54">
        <w:rPr>
          <w:rFonts w:ascii="PT Astra Serif" w:hAnsi="PT Astra Serif"/>
          <w:sz w:val="28"/>
          <w:szCs w:val="28"/>
        </w:rPr>
        <w:t>ё</w:t>
      </w:r>
      <w:r w:rsidR="00956F54" w:rsidRPr="00956F54">
        <w:rPr>
          <w:rFonts w:ascii="PT Astra Serif" w:hAnsi="PT Astra Serif"/>
          <w:sz w:val="28"/>
          <w:szCs w:val="28"/>
        </w:rPr>
        <w:t>тов водителем или кондуктором в салоне транспортного средства при</w:t>
      </w:r>
      <w:r w:rsidR="00574942">
        <w:rPr>
          <w:rFonts w:ascii="PT Astra Serif" w:hAnsi="PT Astra Serif"/>
          <w:sz w:val="28"/>
          <w:szCs w:val="28"/>
        </w:rPr>
        <w:t> </w:t>
      </w:r>
      <w:r w:rsidR="00956F54" w:rsidRPr="00956F54">
        <w:rPr>
          <w:rFonts w:ascii="PT Astra Serif" w:hAnsi="PT Astra Serif"/>
          <w:sz w:val="28"/>
          <w:szCs w:val="28"/>
        </w:rPr>
        <w:t>реализации проездных документов (билетов) и</w:t>
      </w:r>
      <w:r w:rsidR="00574942">
        <w:rPr>
          <w:rFonts w:ascii="PT Astra Serif" w:hAnsi="PT Astra Serif"/>
          <w:sz w:val="28"/>
          <w:szCs w:val="28"/>
        </w:rPr>
        <w:t xml:space="preserve"> </w:t>
      </w:r>
      <w:r w:rsidR="00956F54" w:rsidRPr="00956F54">
        <w:rPr>
          <w:rFonts w:ascii="PT Astra Serif" w:hAnsi="PT Astra Serif"/>
          <w:sz w:val="28"/>
          <w:szCs w:val="28"/>
        </w:rPr>
        <w:t>талонов для проезда в</w:t>
      </w:r>
      <w:r w:rsidR="00574942">
        <w:rPr>
          <w:rFonts w:ascii="PT Astra Serif" w:hAnsi="PT Astra Serif"/>
          <w:sz w:val="28"/>
          <w:szCs w:val="28"/>
        </w:rPr>
        <w:t> </w:t>
      </w:r>
      <w:r w:rsidR="00956F54" w:rsidRPr="00956F54">
        <w:rPr>
          <w:rFonts w:ascii="PT Astra Serif" w:hAnsi="PT Astra Serif"/>
          <w:sz w:val="28"/>
          <w:szCs w:val="28"/>
        </w:rPr>
        <w:t>общественном транспорте обязанность по направлению покупателю (клиенту) кассового чека (бланка строгой отчетности) помимо способов, указанных в</w:t>
      </w:r>
      <w:r w:rsidR="00574942">
        <w:rPr>
          <w:rFonts w:ascii="PT Astra Serif" w:hAnsi="PT Astra Serif"/>
          <w:sz w:val="28"/>
          <w:szCs w:val="28"/>
        </w:rPr>
        <w:t> </w:t>
      </w:r>
      <w:r w:rsidR="00956F54">
        <w:rPr>
          <w:rFonts w:ascii="PT Astra Serif" w:hAnsi="PT Astra Serif"/>
          <w:sz w:val="28"/>
          <w:szCs w:val="28"/>
        </w:rPr>
        <w:t>настоящем Федеральном законе</w:t>
      </w:r>
      <w:r w:rsidR="00956F54" w:rsidRPr="00956F54">
        <w:rPr>
          <w:rFonts w:ascii="PT Astra Serif" w:hAnsi="PT Astra Serif"/>
          <w:sz w:val="28"/>
          <w:szCs w:val="28"/>
        </w:rPr>
        <w:t>, может быть исполнена пользователем пут</w:t>
      </w:r>
      <w:r w:rsidR="00956F54">
        <w:rPr>
          <w:rFonts w:ascii="PT Astra Serif" w:hAnsi="PT Astra Serif"/>
          <w:sz w:val="28"/>
          <w:szCs w:val="28"/>
        </w:rPr>
        <w:t>ё</w:t>
      </w:r>
      <w:r w:rsidR="00956F54" w:rsidRPr="00956F54">
        <w:rPr>
          <w:rFonts w:ascii="PT Astra Serif" w:hAnsi="PT Astra Serif"/>
          <w:sz w:val="28"/>
          <w:szCs w:val="28"/>
        </w:rPr>
        <w:t>м предоставления</w:t>
      </w:r>
      <w:proofErr w:type="gramEnd"/>
      <w:r w:rsidR="00956F54" w:rsidRPr="00956F5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56F54" w:rsidRPr="00956F54">
        <w:rPr>
          <w:rFonts w:ascii="PT Astra Serif" w:hAnsi="PT Astra Serif"/>
          <w:sz w:val="28"/>
          <w:szCs w:val="28"/>
        </w:rPr>
        <w:t>покупателю (клиенту) указанных документов (билетов) и</w:t>
      </w:r>
      <w:r w:rsidR="00574942">
        <w:rPr>
          <w:rFonts w:ascii="PT Astra Serif" w:hAnsi="PT Astra Serif"/>
          <w:sz w:val="28"/>
          <w:szCs w:val="28"/>
        </w:rPr>
        <w:t> </w:t>
      </w:r>
      <w:r w:rsidR="00956F54" w:rsidRPr="00956F54">
        <w:rPr>
          <w:rFonts w:ascii="PT Astra Serif" w:hAnsi="PT Astra Serif"/>
          <w:sz w:val="28"/>
          <w:szCs w:val="28"/>
        </w:rPr>
        <w:t>талонов на бумажном носителе с указанием сведений, достаточных для идентификации и бесплатного получения покупателем (клиентом) с</w:t>
      </w:r>
      <w:r w:rsidR="00574942">
        <w:rPr>
          <w:rFonts w:ascii="PT Astra Serif" w:hAnsi="PT Astra Serif"/>
          <w:sz w:val="28"/>
          <w:szCs w:val="28"/>
        </w:rPr>
        <w:t> </w:t>
      </w:r>
      <w:r w:rsidR="00956F54" w:rsidRPr="00956F54">
        <w:rPr>
          <w:rFonts w:ascii="PT Astra Serif" w:hAnsi="PT Astra Serif"/>
          <w:sz w:val="28"/>
          <w:szCs w:val="28"/>
        </w:rPr>
        <w:t>использованием информационных ресурсов оператора фискальных данных и</w:t>
      </w:r>
      <w:r w:rsidR="00574942">
        <w:rPr>
          <w:rFonts w:ascii="PT Astra Serif" w:hAnsi="PT Astra Serif"/>
          <w:sz w:val="28"/>
          <w:szCs w:val="28"/>
        </w:rPr>
        <w:t> </w:t>
      </w:r>
      <w:r w:rsidR="00956F54" w:rsidRPr="00956F54">
        <w:rPr>
          <w:rFonts w:ascii="PT Astra Serif" w:hAnsi="PT Astra Serif"/>
          <w:sz w:val="28"/>
          <w:szCs w:val="28"/>
        </w:rPr>
        <w:t xml:space="preserve">(или) налогового органа, размещенных в сети </w:t>
      </w:r>
      <w:r w:rsidR="00956F54">
        <w:rPr>
          <w:rFonts w:ascii="PT Astra Serif" w:hAnsi="PT Astra Serif"/>
          <w:sz w:val="28"/>
          <w:szCs w:val="28"/>
        </w:rPr>
        <w:t>«</w:t>
      </w:r>
      <w:r w:rsidR="00956F54" w:rsidRPr="00956F54">
        <w:rPr>
          <w:rFonts w:ascii="PT Astra Serif" w:hAnsi="PT Astra Serif"/>
          <w:sz w:val="28"/>
          <w:szCs w:val="28"/>
        </w:rPr>
        <w:t>Интернет</w:t>
      </w:r>
      <w:r w:rsidR="00956F54">
        <w:rPr>
          <w:rFonts w:ascii="PT Astra Serif" w:hAnsi="PT Astra Serif"/>
          <w:sz w:val="28"/>
          <w:szCs w:val="28"/>
        </w:rPr>
        <w:t>»</w:t>
      </w:r>
      <w:r w:rsidR="00956F54" w:rsidRPr="00956F54">
        <w:rPr>
          <w:rFonts w:ascii="PT Astra Serif" w:hAnsi="PT Astra Serif"/>
          <w:sz w:val="28"/>
          <w:szCs w:val="28"/>
        </w:rPr>
        <w:t>, кассового чека (бланка строгой отч</w:t>
      </w:r>
      <w:r w:rsidR="00956F54">
        <w:rPr>
          <w:rFonts w:ascii="PT Astra Serif" w:hAnsi="PT Astra Serif"/>
          <w:sz w:val="28"/>
          <w:szCs w:val="28"/>
        </w:rPr>
        <w:t>ё</w:t>
      </w:r>
      <w:r w:rsidR="00956F54" w:rsidRPr="00956F54">
        <w:rPr>
          <w:rFonts w:ascii="PT Astra Serif" w:hAnsi="PT Astra Serif"/>
          <w:sz w:val="28"/>
          <w:szCs w:val="28"/>
        </w:rPr>
        <w:t>тности) в электронной форме, который должен быть сформирован в день осуществления расч</w:t>
      </w:r>
      <w:r w:rsidR="00956F54">
        <w:rPr>
          <w:rFonts w:ascii="PT Astra Serif" w:hAnsi="PT Astra Serif"/>
          <w:sz w:val="28"/>
          <w:szCs w:val="28"/>
        </w:rPr>
        <w:t>ё</w:t>
      </w:r>
      <w:r w:rsidR="00956F54" w:rsidRPr="00956F54">
        <w:rPr>
          <w:rFonts w:ascii="PT Astra Serif" w:hAnsi="PT Astra Serif"/>
          <w:sz w:val="28"/>
          <w:szCs w:val="28"/>
        </w:rPr>
        <w:t>та.</w:t>
      </w:r>
      <w:proofErr w:type="gramEnd"/>
    </w:p>
    <w:p w:rsidR="00956F54" w:rsidRDefault="00956F54" w:rsidP="00956F5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Статьёй 2 </w:t>
      </w:r>
      <w:r w:rsidRPr="00956F54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956F54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956F54">
        <w:rPr>
          <w:rFonts w:ascii="PT Astra Serif" w:hAnsi="PT Astra Serif"/>
          <w:sz w:val="28"/>
          <w:szCs w:val="28"/>
        </w:rPr>
        <w:t xml:space="preserve"> от 03.07.2019 </w:t>
      </w:r>
      <w:r>
        <w:rPr>
          <w:rFonts w:ascii="PT Astra Serif" w:hAnsi="PT Astra Serif"/>
          <w:sz w:val="28"/>
          <w:szCs w:val="28"/>
        </w:rPr>
        <w:t>№</w:t>
      </w:r>
      <w:r w:rsidRPr="00956F54">
        <w:rPr>
          <w:rFonts w:ascii="PT Astra Serif" w:hAnsi="PT Astra Serif"/>
          <w:sz w:val="28"/>
          <w:szCs w:val="28"/>
        </w:rPr>
        <w:t xml:space="preserve"> 171-ФЗ </w:t>
      </w:r>
      <w:r>
        <w:rPr>
          <w:rFonts w:ascii="PT Astra Serif" w:hAnsi="PT Astra Serif"/>
          <w:sz w:val="28"/>
          <w:szCs w:val="28"/>
        </w:rPr>
        <w:t>«</w:t>
      </w:r>
      <w:r w:rsidRPr="00956F54">
        <w:rPr>
          <w:rFonts w:ascii="PT Astra Serif" w:hAnsi="PT Astra Serif"/>
          <w:sz w:val="28"/>
          <w:szCs w:val="28"/>
        </w:rPr>
        <w:t>О внесении изменений в</w:t>
      </w:r>
      <w:r w:rsidR="00574942">
        <w:rPr>
          <w:rFonts w:ascii="PT Astra Serif" w:hAnsi="PT Astra Serif"/>
          <w:sz w:val="28"/>
          <w:szCs w:val="28"/>
        </w:rPr>
        <w:t xml:space="preserve"> </w:t>
      </w:r>
      <w:r w:rsidRPr="00956F54">
        <w:rPr>
          <w:rFonts w:ascii="PT Astra Serif" w:hAnsi="PT Astra Serif"/>
          <w:sz w:val="28"/>
          <w:szCs w:val="28"/>
        </w:rPr>
        <w:t>Кодекс Российской Федерации об административных правонарушениях и</w:t>
      </w:r>
      <w:r>
        <w:rPr>
          <w:rFonts w:ascii="PT Astra Serif" w:hAnsi="PT Astra Serif"/>
          <w:sz w:val="28"/>
          <w:szCs w:val="28"/>
        </w:rPr>
        <w:t> </w:t>
      </w:r>
      <w:r w:rsidRPr="00956F54">
        <w:rPr>
          <w:rFonts w:ascii="PT Astra Serif" w:hAnsi="PT Astra Serif"/>
          <w:sz w:val="28"/>
          <w:szCs w:val="28"/>
        </w:rPr>
        <w:t xml:space="preserve">приостановлении действия отдельных положений статьи 14.5 Кодекса Российской </w:t>
      </w:r>
      <w:r>
        <w:rPr>
          <w:rFonts w:ascii="PT Astra Serif" w:hAnsi="PT Astra Serif"/>
          <w:sz w:val="28"/>
          <w:szCs w:val="28"/>
        </w:rPr>
        <w:t>Федерации об административных правонарушений» п</w:t>
      </w:r>
      <w:r w:rsidRPr="00956F54">
        <w:rPr>
          <w:rFonts w:ascii="PT Astra Serif" w:hAnsi="PT Astra Serif"/>
          <w:sz w:val="28"/>
          <w:szCs w:val="28"/>
        </w:rPr>
        <w:t>риостанов</w:t>
      </w:r>
      <w:r>
        <w:rPr>
          <w:rFonts w:ascii="PT Astra Serif" w:hAnsi="PT Astra Serif"/>
          <w:sz w:val="28"/>
          <w:szCs w:val="28"/>
        </w:rPr>
        <w:t>лено</w:t>
      </w:r>
      <w:r w:rsidRPr="00956F54">
        <w:rPr>
          <w:rFonts w:ascii="PT Astra Serif" w:hAnsi="PT Astra Serif"/>
          <w:sz w:val="28"/>
          <w:szCs w:val="28"/>
        </w:rPr>
        <w:t xml:space="preserve"> до 1 июля 2020 года действие частей 2 - 4 и 6 статьи 14.5 Кодекса Российской Федерации об административных правонарушениях </w:t>
      </w:r>
      <w:r w:rsidR="001D4835">
        <w:rPr>
          <w:rFonts w:ascii="PT Astra Serif" w:hAnsi="PT Astra Serif"/>
          <w:sz w:val="28"/>
          <w:szCs w:val="28"/>
        </w:rPr>
        <w:t xml:space="preserve">за нарушения </w:t>
      </w:r>
      <w:r w:rsidRPr="00956F54">
        <w:rPr>
          <w:rFonts w:ascii="PT Astra Serif" w:hAnsi="PT Astra Serif"/>
          <w:sz w:val="28"/>
          <w:szCs w:val="28"/>
        </w:rPr>
        <w:t>в</w:t>
      </w:r>
      <w:r w:rsidR="001D4835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956F54">
        <w:rPr>
          <w:rFonts w:ascii="PT Astra Serif" w:hAnsi="PT Astra Serif"/>
          <w:sz w:val="28"/>
          <w:szCs w:val="28"/>
        </w:rPr>
        <w:t>отношении применения контрольно-кассовой техники при</w:t>
      </w:r>
      <w:r w:rsidR="001D4835">
        <w:rPr>
          <w:rFonts w:ascii="PT Astra Serif" w:hAnsi="PT Astra Serif"/>
          <w:sz w:val="28"/>
          <w:szCs w:val="28"/>
        </w:rPr>
        <w:t> </w:t>
      </w:r>
      <w:r w:rsidRPr="00956F54">
        <w:rPr>
          <w:rFonts w:ascii="PT Astra Serif" w:hAnsi="PT Astra Serif"/>
          <w:sz w:val="28"/>
          <w:szCs w:val="28"/>
        </w:rPr>
        <w:t>осуществлении расч</w:t>
      </w:r>
      <w:r w:rsidR="00C17996">
        <w:rPr>
          <w:rFonts w:ascii="PT Astra Serif" w:hAnsi="PT Astra Serif"/>
          <w:sz w:val="28"/>
          <w:szCs w:val="28"/>
        </w:rPr>
        <w:t>ё</w:t>
      </w:r>
      <w:r w:rsidRPr="00956F54">
        <w:rPr>
          <w:rFonts w:ascii="PT Astra Serif" w:hAnsi="PT Astra Serif"/>
          <w:sz w:val="28"/>
          <w:szCs w:val="28"/>
        </w:rPr>
        <w:t>тов водителями или кондукторами в салоне транспортного средства при реализации проездных документов (билетов) и</w:t>
      </w:r>
      <w:r w:rsidR="001D4835">
        <w:rPr>
          <w:rFonts w:ascii="PT Astra Serif" w:hAnsi="PT Astra Serif"/>
          <w:sz w:val="28"/>
          <w:szCs w:val="28"/>
        </w:rPr>
        <w:t> </w:t>
      </w:r>
      <w:r w:rsidRPr="00956F54">
        <w:rPr>
          <w:rFonts w:ascii="PT Astra Serif" w:hAnsi="PT Astra Serif"/>
          <w:sz w:val="28"/>
          <w:szCs w:val="28"/>
        </w:rPr>
        <w:t>талонов для проезда в</w:t>
      </w:r>
      <w:r w:rsidR="00C17996">
        <w:rPr>
          <w:rFonts w:ascii="PT Astra Serif" w:hAnsi="PT Astra Serif"/>
          <w:sz w:val="28"/>
          <w:szCs w:val="28"/>
        </w:rPr>
        <w:t xml:space="preserve"> общественном транспорте. </w:t>
      </w:r>
    </w:p>
    <w:p w:rsidR="00D45110" w:rsidRDefault="00C17996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с 1 июля 2020 года установка контрольно-кассовой техники будет обязательна для всех перевозчиков, осуществляющих перевозку пассажиров. Кроме того, п</w:t>
      </w:r>
      <w:r w:rsidR="00262806">
        <w:rPr>
          <w:rFonts w:ascii="PT Astra Serif" w:hAnsi="PT Astra Serif"/>
          <w:sz w:val="28"/>
          <w:szCs w:val="28"/>
        </w:rPr>
        <w:t>о мнению разработчика акта</w:t>
      </w:r>
      <w:r w:rsidR="001D010A">
        <w:rPr>
          <w:rFonts w:ascii="PT Astra Serif" w:hAnsi="PT Astra Serif"/>
          <w:sz w:val="28"/>
          <w:szCs w:val="28"/>
        </w:rPr>
        <w:t>,</w:t>
      </w:r>
      <w:r w:rsidR="00262806">
        <w:rPr>
          <w:rFonts w:ascii="PT Astra Serif" w:hAnsi="PT Astra Serif"/>
          <w:sz w:val="28"/>
          <w:szCs w:val="28"/>
        </w:rPr>
        <w:t xml:space="preserve"> </w:t>
      </w:r>
      <w:r w:rsidR="00D45110">
        <w:rPr>
          <w:rFonts w:ascii="PT Astra Serif" w:hAnsi="PT Astra Serif"/>
          <w:sz w:val="28"/>
          <w:szCs w:val="28"/>
        </w:rPr>
        <w:t>принятие проекта акта обеспечит возмещение расходов перевозчика</w:t>
      </w:r>
      <w:r>
        <w:rPr>
          <w:rFonts w:ascii="PT Astra Serif" w:hAnsi="PT Astra Serif"/>
          <w:sz w:val="28"/>
          <w:szCs w:val="28"/>
        </w:rPr>
        <w:t>м, осуществляющим перевозку льготных категорий граждан, в полном объёме исходя из действующего тарифа на основании данных АСУОП.</w:t>
      </w:r>
    </w:p>
    <w:p w:rsidR="00E15ACA" w:rsidRDefault="00E15ACA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принятие проекта акта </w:t>
      </w:r>
      <w:r w:rsidR="00AD5486">
        <w:rPr>
          <w:rFonts w:ascii="PT Astra Serif" w:hAnsi="PT Astra Serif"/>
          <w:sz w:val="28"/>
          <w:szCs w:val="28"/>
        </w:rPr>
        <w:t>позволит улучшить качество обслуживания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AD5486">
        <w:rPr>
          <w:rFonts w:ascii="PT Astra Serif" w:hAnsi="PT Astra Serif"/>
          <w:sz w:val="28"/>
          <w:szCs w:val="28"/>
        </w:rPr>
        <w:t xml:space="preserve">в сфере пассажирских перевозок для </w:t>
      </w:r>
      <w:r>
        <w:rPr>
          <w:rFonts w:ascii="PT Astra Serif" w:hAnsi="PT Astra Serif"/>
          <w:sz w:val="28"/>
          <w:szCs w:val="28"/>
        </w:rPr>
        <w:t>отдельных категорий граждан, таких как инвалиды Великой Отечественной войны, участники Великой Отечественной войны</w:t>
      </w:r>
      <w:r w:rsidR="00AD5486">
        <w:rPr>
          <w:rFonts w:ascii="PT Astra Serif" w:hAnsi="PT Astra Serif"/>
          <w:sz w:val="28"/>
          <w:szCs w:val="28"/>
        </w:rPr>
        <w:t>, лица, награждённые знаком «Жителю блокадного Ленинграда», бывшие несовершеннолетние узники концлагерей, гетто и других мест принудительного содержания</w:t>
      </w:r>
      <w:r w:rsidR="00574942">
        <w:rPr>
          <w:rFonts w:ascii="PT Astra Serif" w:hAnsi="PT Astra Serif"/>
          <w:sz w:val="28"/>
          <w:szCs w:val="28"/>
        </w:rPr>
        <w:t>, созданных фашистами в период В</w:t>
      </w:r>
      <w:r w:rsidR="00AD5486">
        <w:rPr>
          <w:rFonts w:ascii="PT Astra Serif" w:hAnsi="PT Astra Serif"/>
          <w:sz w:val="28"/>
          <w:szCs w:val="28"/>
        </w:rPr>
        <w:t>торой мировой войны.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FF439E">
        <w:rPr>
          <w:rFonts w:ascii="PT Astra Serif" w:hAnsi="PT Astra Serif"/>
          <w:sz w:val="28"/>
          <w:szCs w:val="28"/>
        </w:rPr>
        <w:t xml:space="preserve">создать правовые условия для возмещения расходов перевозчикам, осуществляющим перевозку льготной категории граждан, в полном объёме </w:t>
      </w:r>
      <w:r w:rsidR="007B29BC">
        <w:rPr>
          <w:rFonts w:ascii="PT Astra Serif" w:hAnsi="PT Astra Serif"/>
          <w:sz w:val="28"/>
          <w:szCs w:val="28"/>
        </w:rPr>
        <w:t>и</w:t>
      </w:r>
      <w:r w:rsidR="001546FF">
        <w:rPr>
          <w:rFonts w:ascii="PT Astra Serif" w:hAnsi="PT Astra Serif"/>
          <w:sz w:val="28"/>
          <w:szCs w:val="28"/>
        </w:rPr>
        <w:t xml:space="preserve"> </w:t>
      </w:r>
      <w:r w:rsidR="00DD5784" w:rsidRPr="00D4714D">
        <w:rPr>
          <w:rFonts w:ascii="PT Astra Serif" w:hAnsi="PT Astra Serif"/>
          <w:sz w:val="28"/>
          <w:szCs w:val="28"/>
        </w:rPr>
        <w:t xml:space="preserve">для </w:t>
      </w:r>
      <w:r w:rsidR="00C44843">
        <w:rPr>
          <w:rFonts w:ascii="PT Astra Serif" w:hAnsi="PT Astra Serif"/>
          <w:sz w:val="28"/>
          <w:szCs w:val="28"/>
        </w:rPr>
        <w:t>оказания</w:t>
      </w:r>
      <w:r w:rsidR="007B29BC">
        <w:rPr>
          <w:rFonts w:ascii="PT Astra Serif" w:hAnsi="PT Astra Serif"/>
          <w:sz w:val="28"/>
          <w:szCs w:val="28"/>
        </w:rPr>
        <w:t xml:space="preserve"> мер государственной </w:t>
      </w:r>
      <w:r w:rsidR="00605EE4">
        <w:rPr>
          <w:rFonts w:ascii="PT Astra Serif" w:hAnsi="PT Astra Serif"/>
          <w:sz w:val="28"/>
          <w:szCs w:val="28"/>
        </w:rPr>
        <w:t xml:space="preserve">социальной </w:t>
      </w:r>
      <w:r w:rsidR="007B29BC">
        <w:rPr>
          <w:rFonts w:ascii="PT Astra Serif" w:hAnsi="PT Astra Serif"/>
          <w:sz w:val="28"/>
          <w:szCs w:val="28"/>
        </w:rPr>
        <w:t>поддержки</w:t>
      </w:r>
      <w:r w:rsidR="001546FF">
        <w:rPr>
          <w:rFonts w:ascii="PT Astra Serif" w:hAnsi="PT Astra Serif"/>
          <w:sz w:val="28"/>
          <w:szCs w:val="28"/>
        </w:rPr>
        <w:t xml:space="preserve"> </w:t>
      </w:r>
      <w:r w:rsidR="00323BD5">
        <w:rPr>
          <w:rFonts w:ascii="PT Astra Serif" w:hAnsi="PT Astra Serif"/>
          <w:sz w:val="28"/>
          <w:szCs w:val="28"/>
        </w:rPr>
        <w:t xml:space="preserve">отдельным категориям гражданам </w:t>
      </w:r>
      <w:r w:rsidR="001546FF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Default="00B06CF0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D03E42">
        <w:rPr>
          <w:rFonts w:ascii="PT Astra Serif" w:hAnsi="PT Astra Serif"/>
          <w:sz w:val="28"/>
          <w:szCs w:val="28"/>
        </w:rPr>
        <w:t>организации, заключивш</w:t>
      </w:r>
      <w:r w:rsidR="00FB0AAB">
        <w:rPr>
          <w:rFonts w:ascii="PT Astra Serif" w:hAnsi="PT Astra Serif"/>
          <w:sz w:val="28"/>
          <w:szCs w:val="28"/>
        </w:rPr>
        <w:t>ие договора о предоставлении транспортных услуг льготным категориям граждан</w:t>
      </w:r>
      <w:r w:rsidR="00FB0AAB" w:rsidRPr="00FB0AAB">
        <w:rPr>
          <w:rFonts w:ascii="PT Astra Serif" w:hAnsi="PT Astra Serif"/>
          <w:sz w:val="28"/>
          <w:szCs w:val="28"/>
        </w:rPr>
        <w:t xml:space="preserve"> </w:t>
      </w:r>
      <w:r w:rsidR="00FB0AAB">
        <w:rPr>
          <w:rFonts w:ascii="PT Astra Serif" w:hAnsi="PT Astra Serif"/>
          <w:sz w:val="28"/>
          <w:szCs w:val="28"/>
        </w:rPr>
        <w:t>на территории Ульяновской области, а также отдельные категории граждан, включённые в Федеральный регистр лиц, имеющие право на получение государственной социальной помощи, и региональный регистр лиц, имеющих право на получение мер социальной поддержки</w:t>
      </w:r>
      <w:r w:rsidR="00BA13BD">
        <w:rPr>
          <w:rFonts w:ascii="PT Astra Serif" w:hAnsi="PT Astra Serif"/>
          <w:sz w:val="28"/>
          <w:szCs w:val="28"/>
        </w:rPr>
        <w:t>.</w:t>
      </w:r>
      <w:proofErr w:type="gramEnd"/>
    </w:p>
    <w:p w:rsidR="00301716" w:rsidRPr="00DA6C83" w:rsidRDefault="00301716" w:rsidP="003017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301716" w:rsidRPr="00DA6C83" w:rsidRDefault="00301716" w:rsidP="00301716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301716" w:rsidRPr="00DA6C83" w:rsidTr="00F010A6">
        <w:tc>
          <w:tcPr>
            <w:tcW w:w="4361" w:type="dxa"/>
            <w:shd w:val="clear" w:color="auto" w:fill="auto"/>
          </w:tcPr>
          <w:p w:rsidR="00301716" w:rsidRPr="00DA6C83" w:rsidRDefault="00301716" w:rsidP="00F010A6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301716" w:rsidRPr="00DA6C83" w:rsidRDefault="00301716" w:rsidP="00F010A6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301716" w:rsidRPr="00DA6C83" w:rsidRDefault="00301716" w:rsidP="00F010A6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301716" w:rsidRPr="00DA6C83" w:rsidTr="00931ED2">
        <w:tc>
          <w:tcPr>
            <w:tcW w:w="4361" w:type="dxa"/>
            <w:shd w:val="clear" w:color="auto" w:fill="auto"/>
            <w:vAlign w:val="center"/>
          </w:tcPr>
          <w:p w:rsidR="00301716" w:rsidRPr="00DA6C83" w:rsidRDefault="00FB0AAB" w:rsidP="00960928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О</w:t>
            </w:r>
            <w:r w:rsidRPr="00FB0AAB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рганизации, заключившие договора о</w:t>
            </w:r>
            <w:r w:rsidR="00960928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 </w:t>
            </w:r>
            <w:r w:rsidRPr="00FB0AAB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предоставлении транспортных услуг льготным категориям граждан на</w:t>
            </w:r>
            <w:r w:rsidR="00960928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 </w:t>
            </w:r>
            <w:r w:rsidRPr="00FB0AAB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территории Ульяновской области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1716" w:rsidRPr="00DA6C83" w:rsidRDefault="00FB0AAB" w:rsidP="00F010A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01716" w:rsidRPr="00DA6C83" w:rsidRDefault="00FB0AAB" w:rsidP="00F010A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FB0AAB" w:rsidRPr="00DA6C83" w:rsidTr="00931ED2">
        <w:tc>
          <w:tcPr>
            <w:tcW w:w="4361" w:type="dxa"/>
            <w:shd w:val="clear" w:color="auto" w:fill="auto"/>
            <w:vAlign w:val="center"/>
          </w:tcPr>
          <w:p w:rsidR="00FB0AAB" w:rsidRDefault="00FB0AAB" w:rsidP="00FB0A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Г</w:t>
            </w:r>
            <w:r w:rsidRPr="00FB0AAB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раждан</w:t>
            </w: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е</w:t>
            </w:r>
            <w:r w:rsidRPr="00FB0AAB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 xml:space="preserve">, включённые </w:t>
            </w: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 xml:space="preserve">в </w:t>
            </w:r>
            <w:r w:rsidRPr="00FB0AAB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региональный регистр лиц, имеющих право на получение мер социальной поддержк</w:t>
            </w: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0AAB" w:rsidRDefault="00FB0AAB" w:rsidP="00F010A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11 496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AAB" w:rsidRPr="00087B74" w:rsidRDefault="00FB0AAB" w:rsidP="00F010A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 w:rsidR="00FB0AAB" w:rsidRPr="00DA6C83" w:rsidTr="00FB0AAB">
        <w:tc>
          <w:tcPr>
            <w:tcW w:w="4361" w:type="dxa"/>
            <w:shd w:val="clear" w:color="auto" w:fill="auto"/>
            <w:vAlign w:val="center"/>
          </w:tcPr>
          <w:p w:rsidR="00FB0AAB" w:rsidRDefault="00FB0AAB" w:rsidP="00FB0AAB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Г</w:t>
            </w:r>
            <w:r w:rsidRPr="00FB0AAB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раждан</w:t>
            </w: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е</w:t>
            </w:r>
            <w:r w:rsidRPr="00FB0AAB"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, включённые в Федеральный регистр лиц, имеющие право на получение государственной социальной помощи</w:t>
            </w: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,</w:t>
            </w:r>
          </w:p>
          <w:p w:rsidR="00FB0AAB" w:rsidRDefault="00FB0AAB" w:rsidP="00FB0A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  <w:t>в том числе инвалиды и участники Великой Отечественной войны</w:t>
            </w:r>
          </w:p>
        </w:tc>
        <w:tc>
          <w:tcPr>
            <w:tcW w:w="2410" w:type="dxa"/>
            <w:shd w:val="clear" w:color="auto" w:fill="auto"/>
          </w:tcPr>
          <w:p w:rsidR="00FB0AAB" w:rsidRDefault="00FB0AAB" w:rsidP="00FB0A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B0AAB" w:rsidRDefault="00FB0AAB" w:rsidP="00FB0A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B0AAB" w:rsidRDefault="00FB0AAB" w:rsidP="00FB0A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6 226</w:t>
            </w:r>
          </w:p>
          <w:p w:rsidR="00FB0AAB" w:rsidRDefault="00FB0AAB" w:rsidP="00FB0A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B0AAB" w:rsidRDefault="00FB0AAB" w:rsidP="00FB0AA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623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B0AAB" w:rsidRPr="00087B74" w:rsidRDefault="00FB0AAB" w:rsidP="00F010A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4A75C6" w:rsidRPr="00D4714D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EB0DDB" w:rsidRPr="00DF5B4A" w:rsidRDefault="00EB0DDB" w:rsidP="00EB0D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>
        <w:rPr>
          <w:rFonts w:ascii="PT Astra Serif" w:hAnsi="PT Astra Serif"/>
          <w:sz w:val="28"/>
          <w:szCs w:val="28"/>
        </w:rPr>
        <w:t>27</w:t>
      </w:r>
      <w:r w:rsidRPr="00DF5B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01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05</w:t>
      </w:r>
      <w:r w:rsidRPr="00DF5B4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02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</w:t>
      </w:r>
      <w:r>
        <w:rPr>
          <w:rFonts w:ascii="PT Astra Serif" w:hAnsi="PT Astra Serif"/>
          <w:sz w:val="28"/>
          <w:szCs w:val="28"/>
        </w:rPr>
        <w:t xml:space="preserve">проект </w:t>
      </w:r>
      <w:r w:rsidRPr="00DF5B4A">
        <w:rPr>
          <w:rFonts w:ascii="PT Astra Serif" w:hAnsi="PT Astra Serif"/>
          <w:sz w:val="28"/>
          <w:szCs w:val="28"/>
        </w:rPr>
        <w:t>акт</w:t>
      </w:r>
      <w:r>
        <w:rPr>
          <w:rFonts w:ascii="PT Astra Serif" w:hAnsi="PT Astra Serif"/>
          <w:sz w:val="28"/>
          <w:szCs w:val="28"/>
        </w:rPr>
        <w:t>а</w:t>
      </w:r>
      <w:r w:rsidRPr="00DF5B4A">
        <w:rPr>
          <w:rFonts w:ascii="PT Astra Serif" w:hAnsi="PT Astra Serif"/>
          <w:sz w:val="28"/>
          <w:szCs w:val="28"/>
        </w:rPr>
        <w:t xml:space="preserve"> и сводный отчёт были размещены с </w:t>
      </w:r>
      <w:r>
        <w:rPr>
          <w:rFonts w:ascii="PT Astra Serif" w:hAnsi="PT Astra Serif"/>
          <w:sz w:val="28"/>
          <w:szCs w:val="28"/>
        </w:rPr>
        <w:t>11</w:t>
      </w:r>
      <w:r w:rsidRPr="00DF5B4A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2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</w:t>
      </w:r>
      <w:r>
        <w:rPr>
          <w:rFonts w:ascii="PT Astra Serif" w:hAnsi="PT Astra Serif"/>
          <w:sz w:val="28"/>
          <w:szCs w:val="28"/>
        </w:rPr>
        <w:t> 20</w:t>
      </w:r>
      <w:r w:rsidRPr="00DF5B4A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2</w:t>
      </w:r>
      <w:r w:rsidRPr="00DF5B4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1131EE" w:rsidRPr="00D4714D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4714D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4714D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D4714D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D4714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C1659C" w:rsidRPr="00D4714D" w:rsidRDefault="00C1659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960928" w:rsidRDefault="00960928" w:rsidP="004F44D2">
      <w:pPr>
        <w:jc w:val="both"/>
        <w:rPr>
          <w:rFonts w:ascii="PT Astra Serif" w:hAnsi="PT Astra Serif"/>
          <w:sz w:val="20"/>
          <w:szCs w:val="20"/>
        </w:rPr>
      </w:pPr>
    </w:p>
    <w:p w:rsidR="00960928" w:rsidRDefault="00960928" w:rsidP="004F44D2">
      <w:pPr>
        <w:jc w:val="both"/>
        <w:rPr>
          <w:rFonts w:ascii="PT Astra Serif" w:hAnsi="PT Astra Serif"/>
          <w:sz w:val="20"/>
          <w:szCs w:val="20"/>
        </w:rPr>
      </w:pPr>
    </w:p>
    <w:p w:rsidR="00960928" w:rsidRDefault="00960928" w:rsidP="004F44D2">
      <w:pPr>
        <w:jc w:val="both"/>
        <w:rPr>
          <w:rFonts w:ascii="PT Astra Serif" w:hAnsi="PT Astra Serif"/>
          <w:sz w:val="20"/>
          <w:szCs w:val="20"/>
        </w:rPr>
      </w:pPr>
    </w:p>
    <w:p w:rsidR="00960928" w:rsidRDefault="00960928" w:rsidP="004F44D2">
      <w:pPr>
        <w:jc w:val="both"/>
        <w:rPr>
          <w:rFonts w:ascii="PT Astra Serif" w:hAnsi="PT Astra Serif"/>
          <w:sz w:val="20"/>
          <w:szCs w:val="20"/>
        </w:rPr>
      </w:pPr>
    </w:p>
    <w:p w:rsidR="00960928" w:rsidRDefault="00960928" w:rsidP="004F44D2">
      <w:pPr>
        <w:jc w:val="both"/>
        <w:rPr>
          <w:rFonts w:ascii="PT Astra Serif" w:hAnsi="PT Astra Serif"/>
          <w:sz w:val="20"/>
          <w:szCs w:val="20"/>
        </w:rPr>
      </w:pPr>
    </w:p>
    <w:p w:rsidR="00DE7F64" w:rsidRDefault="00DE7F64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BF" w:rsidRDefault="008404BF">
      <w:r>
        <w:separator/>
      </w:r>
    </w:p>
  </w:endnote>
  <w:endnote w:type="continuationSeparator" w:id="0">
    <w:p w:rsidR="008404BF" w:rsidRDefault="0084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BF" w:rsidRDefault="008404BF">
      <w:r>
        <w:separator/>
      </w:r>
    </w:p>
  </w:footnote>
  <w:footnote w:type="continuationSeparator" w:id="0">
    <w:p w:rsidR="008404BF" w:rsidRDefault="0084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4835">
      <w:rPr>
        <w:rStyle w:val="a7"/>
        <w:noProof/>
      </w:rPr>
      <w:t>2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3F7"/>
    <w:rsid w:val="00012D99"/>
    <w:rsid w:val="00013D87"/>
    <w:rsid w:val="00014238"/>
    <w:rsid w:val="00016382"/>
    <w:rsid w:val="00017627"/>
    <w:rsid w:val="000176BC"/>
    <w:rsid w:val="000206F9"/>
    <w:rsid w:val="00020AEA"/>
    <w:rsid w:val="00021818"/>
    <w:rsid w:val="00021832"/>
    <w:rsid w:val="00021D21"/>
    <w:rsid w:val="00022861"/>
    <w:rsid w:val="00022B46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00"/>
    <w:rsid w:val="0004670F"/>
    <w:rsid w:val="00046DB7"/>
    <w:rsid w:val="000474E3"/>
    <w:rsid w:val="00050053"/>
    <w:rsid w:val="000515B0"/>
    <w:rsid w:val="00051DB9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96525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3D53"/>
    <w:rsid w:val="00124057"/>
    <w:rsid w:val="00124203"/>
    <w:rsid w:val="0012422B"/>
    <w:rsid w:val="00124B9D"/>
    <w:rsid w:val="00125378"/>
    <w:rsid w:val="00127D2B"/>
    <w:rsid w:val="0013143E"/>
    <w:rsid w:val="00132475"/>
    <w:rsid w:val="001335C7"/>
    <w:rsid w:val="00135F08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0E5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4835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2C1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B97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B75"/>
    <w:rsid w:val="0030715B"/>
    <w:rsid w:val="00307E82"/>
    <w:rsid w:val="0031005A"/>
    <w:rsid w:val="00311587"/>
    <w:rsid w:val="003115FF"/>
    <w:rsid w:val="0031210F"/>
    <w:rsid w:val="00313CB7"/>
    <w:rsid w:val="00314A14"/>
    <w:rsid w:val="00317355"/>
    <w:rsid w:val="00317A5D"/>
    <w:rsid w:val="00320119"/>
    <w:rsid w:val="003215AA"/>
    <w:rsid w:val="00322984"/>
    <w:rsid w:val="00323BD5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2161"/>
    <w:rsid w:val="00353419"/>
    <w:rsid w:val="00354B11"/>
    <w:rsid w:val="00355441"/>
    <w:rsid w:val="0035669C"/>
    <w:rsid w:val="00356EF1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78A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492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6A75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942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1FD"/>
    <w:rsid w:val="00590417"/>
    <w:rsid w:val="00590ADF"/>
    <w:rsid w:val="00591897"/>
    <w:rsid w:val="00591E48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3559"/>
    <w:rsid w:val="005D5305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D9A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5F7190"/>
    <w:rsid w:val="00600208"/>
    <w:rsid w:val="006003AE"/>
    <w:rsid w:val="00600B60"/>
    <w:rsid w:val="00600D9A"/>
    <w:rsid w:val="00601E99"/>
    <w:rsid w:val="006023E8"/>
    <w:rsid w:val="00604322"/>
    <w:rsid w:val="006049E9"/>
    <w:rsid w:val="00605EE4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51ED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5F70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E38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E21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C92"/>
    <w:rsid w:val="007C3D2A"/>
    <w:rsid w:val="007C3F67"/>
    <w:rsid w:val="007C46D5"/>
    <w:rsid w:val="007C4C03"/>
    <w:rsid w:val="007C52CF"/>
    <w:rsid w:val="007C57B6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4BF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5609C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0A7E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6F54"/>
    <w:rsid w:val="0095799D"/>
    <w:rsid w:val="009603B4"/>
    <w:rsid w:val="00960928"/>
    <w:rsid w:val="00960C84"/>
    <w:rsid w:val="00962402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067"/>
    <w:rsid w:val="009A5F78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A88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9DD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1E3B"/>
    <w:rsid w:val="00AD2009"/>
    <w:rsid w:val="00AD2B62"/>
    <w:rsid w:val="00AD2E5E"/>
    <w:rsid w:val="00AD3145"/>
    <w:rsid w:val="00AD37F0"/>
    <w:rsid w:val="00AD4020"/>
    <w:rsid w:val="00AD5486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2E3C"/>
    <w:rsid w:val="00BC3339"/>
    <w:rsid w:val="00BC3C65"/>
    <w:rsid w:val="00BC5983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17996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861"/>
    <w:rsid w:val="00C70AD8"/>
    <w:rsid w:val="00C70AEC"/>
    <w:rsid w:val="00C73DFC"/>
    <w:rsid w:val="00C73EA3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CF7C75"/>
    <w:rsid w:val="00D00519"/>
    <w:rsid w:val="00D005BA"/>
    <w:rsid w:val="00D0155A"/>
    <w:rsid w:val="00D0175D"/>
    <w:rsid w:val="00D032CE"/>
    <w:rsid w:val="00D03C5F"/>
    <w:rsid w:val="00D03D04"/>
    <w:rsid w:val="00D03E42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1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2C94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7D2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67AE"/>
    <w:rsid w:val="00DE7388"/>
    <w:rsid w:val="00DE7F64"/>
    <w:rsid w:val="00DF0460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6CF1"/>
    <w:rsid w:val="00E075E9"/>
    <w:rsid w:val="00E07FBC"/>
    <w:rsid w:val="00E1084B"/>
    <w:rsid w:val="00E10C53"/>
    <w:rsid w:val="00E111B3"/>
    <w:rsid w:val="00E116F2"/>
    <w:rsid w:val="00E12332"/>
    <w:rsid w:val="00E12865"/>
    <w:rsid w:val="00E14033"/>
    <w:rsid w:val="00E14901"/>
    <w:rsid w:val="00E15A2C"/>
    <w:rsid w:val="00E15ACA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DDB"/>
    <w:rsid w:val="00EB0E37"/>
    <w:rsid w:val="00EB2703"/>
    <w:rsid w:val="00EB3473"/>
    <w:rsid w:val="00EB3993"/>
    <w:rsid w:val="00EB3CF9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349C5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0AAB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39E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1478-1D26-42A2-B9FB-78EFBFC2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9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21089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36</cp:revision>
  <cp:lastPrinted>2020-02-28T06:57:00Z</cp:lastPrinted>
  <dcterms:created xsi:type="dcterms:W3CDTF">2020-03-02T11:59:00Z</dcterms:created>
  <dcterms:modified xsi:type="dcterms:W3CDTF">2020-03-04T11:52:00Z</dcterms:modified>
</cp:coreProperties>
</file>