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theme/themeOverride4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C5C" w:rsidRPr="004B4D12" w:rsidRDefault="00FE3C5C" w:rsidP="00ED1283">
      <w:pPr>
        <w:tabs>
          <w:tab w:val="left" w:pos="0"/>
        </w:tabs>
        <w:overflowPunct w:val="0"/>
        <w:autoSpaceDE w:val="0"/>
        <w:autoSpaceDN w:val="0"/>
        <w:adjustRightInd w:val="0"/>
        <w:spacing w:after="0" w:line="19" w:lineRule="atLeast"/>
        <w:jc w:val="center"/>
        <w:textAlignment w:val="baseline"/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</w:pPr>
      <w:r w:rsidRPr="004B4D12"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  <w:t xml:space="preserve">Обзор </w:t>
      </w:r>
    </w:p>
    <w:p w:rsidR="00FE3C5C" w:rsidRPr="004B4D12" w:rsidRDefault="00FE3C5C" w:rsidP="00ED1283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19" w:lineRule="atLeast"/>
        <w:ind w:firstLine="709"/>
        <w:jc w:val="center"/>
        <w:textAlignment w:val="baseline"/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</w:pPr>
      <w:r w:rsidRPr="004B4D12"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  <w:t xml:space="preserve">обращений граждан и организаций, </w:t>
      </w:r>
    </w:p>
    <w:p w:rsidR="00FE3C5C" w:rsidRPr="004B4D12" w:rsidRDefault="00FE3C5C" w:rsidP="00ED1283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19" w:lineRule="atLeast"/>
        <w:ind w:firstLine="709"/>
        <w:jc w:val="center"/>
        <w:textAlignment w:val="baseline"/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</w:pPr>
      <w:r w:rsidRPr="004B4D12"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  <w:t xml:space="preserve">поступивших в адрес Губернатора и Правительства </w:t>
      </w:r>
    </w:p>
    <w:p w:rsidR="00FE3C5C" w:rsidRPr="004B4D12" w:rsidRDefault="00FE3C5C" w:rsidP="00ED1283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19" w:lineRule="atLeast"/>
        <w:ind w:firstLine="709"/>
        <w:jc w:val="center"/>
        <w:textAlignment w:val="baseline"/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</w:pPr>
      <w:r w:rsidRPr="004B4D12"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  <w:t xml:space="preserve">Ульяновской области в </w:t>
      </w:r>
      <w:r w:rsidRPr="004B4D12">
        <w:rPr>
          <w:rFonts w:ascii="PT Astra Serif" w:eastAsia="Times New Roman" w:hAnsi="PT Astra Serif" w:cs="Times New Roman"/>
          <w:b/>
          <w:sz w:val="28"/>
          <w:szCs w:val="28"/>
          <w:lang w:val="en-US" w:eastAsia="ru-RU"/>
        </w:rPr>
        <w:t>IV</w:t>
      </w:r>
      <w:r w:rsidRPr="004B4D12"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  <w:t xml:space="preserve"> квартале 2019 года </w:t>
      </w:r>
    </w:p>
    <w:p w:rsidR="00FE3C5C" w:rsidRDefault="00FE3C5C" w:rsidP="00ED1283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19" w:lineRule="atLeast"/>
        <w:ind w:firstLine="709"/>
        <w:jc w:val="center"/>
        <w:textAlignment w:val="baseline"/>
        <w:rPr>
          <w:rFonts w:ascii="PT Astra Serif" w:eastAsia="Times New Roman" w:hAnsi="PT Astra Serif" w:cs="Times New Roman"/>
          <w:sz w:val="28"/>
          <w:szCs w:val="28"/>
          <w:lang w:val="ru-RU" w:eastAsia="ru-RU"/>
        </w:rPr>
      </w:pPr>
    </w:p>
    <w:p w:rsidR="004B4D12" w:rsidRDefault="004B4D12" w:rsidP="00ED1283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19" w:lineRule="atLeast"/>
        <w:ind w:firstLine="709"/>
        <w:jc w:val="center"/>
        <w:textAlignment w:val="baseline"/>
        <w:rPr>
          <w:rFonts w:ascii="PT Astra Serif" w:eastAsia="Times New Roman" w:hAnsi="PT Astra Serif" w:cs="Times New Roman"/>
          <w:sz w:val="28"/>
          <w:szCs w:val="28"/>
          <w:lang w:val="ru-RU" w:eastAsia="ru-RU"/>
        </w:rPr>
      </w:pPr>
    </w:p>
    <w:p w:rsidR="00FE3C5C" w:rsidRPr="004B4D12" w:rsidRDefault="00FE3C5C" w:rsidP="00ED1283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19" w:lineRule="atLeast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val="ru-RU" w:eastAsia="ru-RU"/>
        </w:rPr>
      </w:pPr>
      <w:r w:rsidRPr="004B4D12">
        <w:rPr>
          <w:rFonts w:ascii="PT Astra Serif" w:eastAsia="Times New Roman" w:hAnsi="PT Astra Serif" w:cs="Times New Roman"/>
          <w:sz w:val="28"/>
          <w:szCs w:val="28"/>
          <w:lang w:val="ru-RU" w:eastAsia="ru-RU"/>
        </w:rPr>
        <w:t xml:space="preserve">В </w:t>
      </w:r>
      <w:r w:rsidRPr="004B4D12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IV</w:t>
      </w:r>
      <w:r w:rsidRPr="004B4D12">
        <w:rPr>
          <w:rFonts w:ascii="PT Astra Serif" w:eastAsia="Times New Roman" w:hAnsi="PT Astra Serif" w:cs="Times New Roman"/>
          <w:sz w:val="28"/>
          <w:szCs w:val="28"/>
          <w:lang w:val="ru-RU" w:eastAsia="ru-RU"/>
        </w:rPr>
        <w:t xml:space="preserve"> квартале 2019 года в Правительстве Ульяновской области зарегистрировано в системе электронного документооборота С</w:t>
      </w:r>
      <w:r w:rsidRPr="004B4D12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ompanyMedia</w:t>
      </w:r>
      <w:r w:rsidRPr="004B4D12">
        <w:rPr>
          <w:rFonts w:ascii="PT Astra Serif" w:eastAsia="Times New Roman" w:hAnsi="PT Astra Serif" w:cs="Times New Roman"/>
          <w:sz w:val="28"/>
          <w:szCs w:val="28"/>
          <w:lang w:val="ru-RU" w:eastAsia="ru-RU"/>
        </w:rPr>
        <w:t xml:space="preserve"> (далее – СЭД) 3184 обращения граждан и организаций (далее - обращения), количество которых увеличилось на 10 процентов по сравнению                            с аналогичным периодом 2018 года (2863) и уменьшилось ровно                           на столько же относительно аналогичного периода 2017 года (3535). </w:t>
      </w:r>
    </w:p>
    <w:p w:rsidR="00FE3C5C" w:rsidRPr="004B4D12" w:rsidRDefault="00FE3C5C" w:rsidP="00ED1283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19" w:lineRule="atLeast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val="ru-RU" w:eastAsia="ru-RU"/>
        </w:rPr>
      </w:pPr>
      <w:r w:rsidRPr="004B4D12">
        <w:rPr>
          <w:rFonts w:ascii="PT Astra Serif" w:eastAsia="Times New Roman" w:hAnsi="PT Astra Serif" w:cs="Times New Roman"/>
          <w:sz w:val="28"/>
          <w:szCs w:val="28"/>
          <w:lang w:val="ru-RU" w:eastAsia="ru-RU"/>
        </w:rPr>
        <w:t xml:space="preserve">При этом число вопросов, поставленных заявителями в обращениях                 в отчётном периоде (3603), увеличилось на 9 процентов сравнительно                 </w:t>
      </w:r>
      <w:r w:rsidRPr="004B4D12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IV</w:t>
      </w:r>
      <w:r w:rsidRPr="004B4D12">
        <w:rPr>
          <w:rFonts w:ascii="PT Astra Serif" w:eastAsia="Times New Roman" w:hAnsi="PT Astra Serif" w:cs="Times New Roman"/>
          <w:sz w:val="28"/>
          <w:szCs w:val="28"/>
          <w:lang w:val="ru-RU" w:eastAsia="ru-RU"/>
        </w:rPr>
        <w:t xml:space="preserve"> квартала 2018 года (3266) и одновременно уменьшилось на 6 процентов сравнительно </w:t>
      </w:r>
      <w:r w:rsidRPr="004B4D12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IV</w:t>
      </w:r>
      <w:r w:rsidRPr="004B4D12">
        <w:rPr>
          <w:rFonts w:ascii="PT Astra Serif" w:eastAsia="Times New Roman" w:hAnsi="PT Astra Serif" w:cs="Times New Roman"/>
          <w:sz w:val="28"/>
          <w:szCs w:val="28"/>
          <w:lang w:val="ru-RU" w:eastAsia="ru-RU"/>
        </w:rPr>
        <w:t xml:space="preserve"> квартала 2017 года (3816).</w:t>
      </w:r>
    </w:p>
    <w:p w:rsidR="00FE3C5C" w:rsidRPr="00572831" w:rsidRDefault="00FE3C5C" w:rsidP="00ED1283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19" w:lineRule="atLeast"/>
        <w:ind w:firstLine="709"/>
        <w:jc w:val="both"/>
        <w:textAlignment w:val="baseline"/>
        <w:rPr>
          <w:rFonts w:ascii="PT Astra Serif" w:eastAsia="Times New Roman" w:hAnsi="PT Astra Serif" w:cs="Times New Roman"/>
          <w:b/>
          <w:sz w:val="18"/>
          <w:szCs w:val="26"/>
          <w:highlight w:val="yellow"/>
          <w:lang w:val="ru-RU" w:eastAsia="ru-RU"/>
        </w:rPr>
      </w:pPr>
    </w:p>
    <w:p w:rsidR="00FE3C5C" w:rsidRPr="00572831" w:rsidRDefault="00FE3C5C" w:rsidP="00ED1283">
      <w:pPr>
        <w:shd w:val="clear" w:color="auto" w:fill="365F91" w:themeFill="accent1" w:themeFillShade="BF"/>
        <w:tabs>
          <w:tab w:val="left" w:pos="900"/>
        </w:tabs>
        <w:overflowPunct w:val="0"/>
        <w:autoSpaceDE w:val="0"/>
        <w:autoSpaceDN w:val="0"/>
        <w:adjustRightInd w:val="0"/>
        <w:spacing w:after="0" w:line="19" w:lineRule="atLeast"/>
        <w:jc w:val="center"/>
        <w:textAlignment w:val="baseline"/>
        <w:rPr>
          <w:rFonts w:ascii="PT Astra Serif" w:eastAsia="Times New Roman" w:hAnsi="PT Astra Serif" w:cs="Times New Roman"/>
          <w:b/>
          <w:color w:val="FFFFFF" w:themeColor="background1"/>
          <w:sz w:val="26"/>
          <w:szCs w:val="26"/>
          <w:lang w:val="ru-RU" w:eastAsia="ru-RU"/>
        </w:rPr>
      </w:pPr>
      <w:r w:rsidRPr="00572831">
        <w:rPr>
          <w:rFonts w:ascii="PT Astra Serif" w:eastAsia="Times New Roman" w:hAnsi="PT Astra Serif" w:cs="Times New Roman"/>
          <w:b/>
          <w:color w:val="FFFFFF" w:themeColor="background1"/>
          <w:sz w:val="26"/>
          <w:szCs w:val="26"/>
          <w:lang w:val="ru-RU" w:eastAsia="ru-RU"/>
        </w:rPr>
        <w:t>Количество обращений (вопросов),</w:t>
      </w:r>
    </w:p>
    <w:p w:rsidR="00FE3C5C" w:rsidRPr="00572831" w:rsidRDefault="00FE3C5C" w:rsidP="00ED1283">
      <w:pPr>
        <w:shd w:val="clear" w:color="auto" w:fill="365F91" w:themeFill="accent1" w:themeFillShade="BF"/>
        <w:tabs>
          <w:tab w:val="left" w:pos="900"/>
        </w:tabs>
        <w:overflowPunct w:val="0"/>
        <w:autoSpaceDE w:val="0"/>
        <w:autoSpaceDN w:val="0"/>
        <w:adjustRightInd w:val="0"/>
        <w:spacing w:after="0" w:line="19" w:lineRule="atLeast"/>
        <w:jc w:val="center"/>
        <w:textAlignment w:val="baseline"/>
        <w:rPr>
          <w:rFonts w:ascii="PT Astra Serif" w:eastAsia="Times New Roman" w:hAnsi="PT Astra Serif" w:cs="Times New Roman"/>
          <w:b/>
          <w:color w:val="FFFFFF" w:themeColor="background1"/>
          <w:sz w:val="26"/>
          <w:szCs w:val="26"/>
          <w:lang w:val="ru-RU" w:eastAsia="ru-RU"/>
        </w:rPr>
      </w:pPr>
      <w:r w:rsidRPr="00572831">
        <w:rPr>
          <w:rFonts w:ascii="PT Astra Serif" w:eastAsia="Times New Roman" w:hAnsi="PT Astra Serif" w:cs="Times New Roman"/>
          <w:b/>
          <w:color w:val="FFFFFF" w:themeColor="background1"/>
          <w:sz w:val="26"/>
          <w:szCs w:val="26"/>
          <w:lang w:val="ru-RU" w:eastAsia="ru-RU"/>
        </w:rPr>
        <w:t xml:space="preserve">поступивших в Правительство Ульяновской области </w:t>
      </w:r>
    </w:p>
    <w:p w:rsidR="00FE3C5C" w:rsidRDefault="00FE3C5C" w:rsidP="00ED1283">
      <w:pPr>
        <w:shd w:val="clear" w:color="auto" w:fill="365F91" w:themeFill="accent1" w:themeFillShade="BF"/>
        <w:tabs>
          <w:tab w:val="left" w:pos="900"/>
        </w:tabs>
        <w:overflowPunct w:val="0"/>
        <w:autoSpaceDE w:val="0"/>
        <w:autoSpaceDN w:val="0"/>
        <w:adjustRightInd w:val="0"/>
        <w:spacing w:after="0" w:line="19" w:lineRule="atLeast"/>
        <w:jc w:val="center"/>
        <w:textAlignment w:val="baseline"/>
        <w:rPr>
          <w:rFonts w:ascii="PT Astra Serif" w:eastAsia="Times New Roman" w:hAnsi="PT Astra Serif" w:cs="Times New Roman"/>
          <w:b/>
          <w:color w:val="FFFFFF" w:themeColor="background1"/>
          <w:sz w:val="26"/>
          <w:szCs w:val="26"/>
          <w:lang w:val="ru-RU" w:eastAsia="ru-RU"/>
        </w:rPr>
      </w:pPr>
      <w:r w:rsidRPr="00572831">
        <w:rPr>
          <w:rFonts w:ascii="PT Astra Serif" w:eastAsia="Times New Roman" w:hAnsi="PT Astra Serif" w:cs="Times New Roman"/>
          <w:b/>
          <w:color w:val="FFFFFF" w:themeColor="background1"/>
          <w:sz w:val="26"/>
          <w:szCs w:val="26"/>
          <w:lang w:val="ru-RU" w:eastAsia="ru-RU"/>
        </w:rPr>
        <w:t xml:space="preserve">в </w:t>
      </w:r>
      <w:r>
        <w:rPr>
          <w:rFonts w:ascii="PT Astra Serif" w:eastAsia="Times New Roman" w:hAnsi="PT Astra Serif" w:cs="Times New Roman"/>
          <w:b/>
          <w:color w:val="FFFFFF" w:themeColor="background1"/>
          <w:sz w:val="26"/>
          <w:szCs w:val="26"/>
          <w:lang w:val="en-US" w:eastAsia="ru-RU"/>
        </w:rPr>
        <w:t>IV</w:t>
      </w:r>
      <w:r w:rsidRPr="00572831">
        <w:rPr>
          <w:rFonts w:ascii="PT Astra Serif" w:eastAsia="Times New Roman" w:hAnsi="PT Astra Serif" w:cs="Times New Roman"/>
          <w:b/>
          <w:color w:val="FFFFFF" w:themeColor="background1"/>
          <w:sz w:val="26"/>
          <w:szCs w:val="26"/>
          <w:lang w:val="ru-RU" w:eastAsia="ru-RU"/>
        </w:rPr>
        <w:t xml:space="preserve"> квартале 2019 года  </w:t>
      </w:r>
    </w:p>
    <w:p w:rsidR="00FE3C5C" w:rsidRPr="00572831" w:rsidRDefault="00FE3C5C" w:rsidP="00ED1283">
      <w:pPr>
        <w:shd w:val="clear" w:color="auto" w:fill="365F91" w:themeFill="accent1" w:themeFillShade="BF"/>
        <w:tabs>
          <w:tab w:val="left" w:pos="900"/>
        </w:tabs>
        <w:overflowPunct w:val="0"/>
        <w:autoSpaceDE w:val="0"/>
        <w:autoSpaceDN w:val="0"/>
        <w:adjustRightInd w:val="0"/>
        <w:spacing w:after="0" w:line="19" w:lineRule="atLeast"/>
        <w:jc w:val="center"/>
        <w:textAlignment w:val="baseline"/>
        <w:rPr>
          <w:rFonts w:ascii="PT Astra Serif" w:eastAsia="Times New Roman" w:hAnsi="PT Astra Serif" w:cs="Times New Roman"/>
          <w:b/>
          <w:color w:val="FFFFFF" w:themeColor="background1"/>
          <w:sz w:val="26"/>
          <w:szCs w:val="26"/>
          <w:lang w:val="ru-RU" w:eastAsia="ru-RU"/>
        </w:rPr>
      </w:pPr>
      <w:r w:rsidRPr="00572831">
        <w:rPr>
          <w:rFonts w:ascii="PT Astra Serif" w:eastAsia="Times New Roman" w:hAnsi="PT Astra Serif" w:cs="Times New Roman"/>
          <w:b/>
          <w:color w:val="FFFFFF" w:themeColor="background1"/>
          <w:sz w:val="26"/>
          <w:szCs w:val="26"/>
          <w:lang w:val="ru-RU" w:eastAsia="ru-RU"/>
        </w:rPr>
        <w:t xml:space="preserve">(в сравнении с аналогичным периодом </w:t>
      </w:r>
    </w:p>
    <w:p w:rsidR="00FE3C5C" w:rsidRDefault="00FE3C5C" w:rsidP="00ED1283">
      <w:pPr>
        <w:shd w:val="clear" w:color="auto" w:fill="365F91" w:themeFill="accent1" w:themeFillShade="BF"/>
        <w:tabs>
          <w:tab w:val="left" w:pos="900"/>
        </w:tabs>
        <w:overflowPunct w:val="0"/>
        <w:autoSpaceDE w:val="0"/>
        <w:autoSpaceDN w:val="0"/>
        <w:adjustRightInd w:val="0"/>
        <w:spacing w:after="0" w:line="19" w:lineRule="atLeast"/>
        <w:jc w:val="center"/>
        <w:textAlignment w:val="baseline"/>
        <w:rPr>
          <w:rFonts w:ascii="PT Astra Serif" w:eastAsia="Times New Roman" w:hAnsi="PT Astra Serif" w:cs="Times New Roman"/>
          <w:b/>
          <w:color w:val="FFFFFF" w:themeColor="background1"/>
          <w:sz w:val="26"/>
          <w:szCs w:val="26"/>
          <w:lang w:val="ru-RU" w:eastAsia="ru-RU"/>
        </w:rPr>
      </w:pPr>
      <w:r w:rsidRPr="00572831">
        <w:rPr>
          <w:rFonts w:ascii="PT Astra Serif" w:eastAsia="Times New Roman" w:hAnsi="PT Astra Serif" w:cs="Times New Roman"/>
          <w:b/>
          <w:color w:val="FFFFFF" w:themeColor="background1"/>
          <w:sz w:val="26"/>
          <w:szCs w:val="26"/>
          <w:lang w:val="ru-RU" w:eastAsia="ru-RU"/>
        </w:rPr>
        <w:t>2017, 2018 годов)</w:t>
      </w:r>
    </w:p>
    <w:p w:rsidR="00FE3C5C" w:rsidRPr="00572831" w:rsidRDefault="00FE3C5C" w:rsidP="00ED1283">
      <w:pPr>
        <w:shd w:val="clear" w:color="auto" w:fill="365F91" w:themeFill="accent1" w:themeFillShade="BF"/>
        <w:tabs>
          <w:tab w:val="left" w:pos="900"/>
        </w:tabs>
        <w:overflowPunct w:val="0"/>
        <w:autoSpaceDE w:val="0"/>
        <w:autoSpaceDN w:val="0"/>
        <w:adjustRightInd w:val="0"/>
        <w:spacing w:after="0" w:line="19" w:lineRule="atLeast"/>
        <w:jc w:val="center"/>
        <w:textAlignment w:val="baseline"/>
        <w:rPr>
          <w:rFonts w:ascii="PT Astra Serif" w:eastAsia="Times New Roman" w:hAnsi="PT Astra Serif" w:cs="Times New Roman"/>
          <w:b/>
          <w:color w:val="FFFFFF" w:themeColor="background1"/>
          <w:sz w:val="26"/>
          <w:szCs w:val="26"/>
          <w:lang w:val="ru-RU" w:eastAsia="ru-RU"/>
        </w:rPr>
      </w:pPr>
    </w:p>
    <w:p w:rsidR="00FE3C5C" w:rsidRPr="00572831" w:rsidRDefault="00FE3C5C" w:rsidP="00ED1283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19" w:lineRule="atLeast"/>
        <w:jc w:val="center"/>
        <w:textAlignment w:val="baseline"/>
        <w:rPr>
          <w:rFonts w:ascii="PT Astra Serif" w:eastAsia="Times New Roman" w:hAnsi="PT Astra Serif" w:cs="Times New Roman"/>
          <w:b/>
          <w:sz w:val="26"/>
          <w:szCs w:val="26"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5918200" cy="3600450"/>
            <wp:effectExtent l="19050" t="19050" r="25400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E3C5C" w:rsidRPr="00572831" w:rsidRDefault="00FE3C5C" w:rsidP="00ED1283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19" w:lineRule="atLeast"/>
        <w:jc w:val="center"/>
        <w:textAlignment w:val="baseline"/>
        <w:rPr>
          <w:rFonts w:ascii="PT Astra Serif" w:eastAsia="Times New Roman" w:hAnsi="PT Astra Serif" w:cs="Times New Roman"/>
          <w:b/>
          <w:color w:val="3366FF"/>
          <w:sz w:val="26"/>
          <w:szCs w:val="26"/>
          <w:highlight w:val="yellow"/>
          <w:lang w:val="ru-RU" w:eastAsia="ru-RU"/>
        </w:rPr>
      </w:pPr>
    </w:p>
    <w:p w:rsidR="00FE3C5C" w:rsidRPr="00572831" w:rsidRDefault="00FE3C5C" w:rsidP="00ED1283">
      <w:pPr>
        <w:overflowPunct w:val="0"/>
        <w:autoSpaceDE w:val="0"/>
        <w:autoSpaceDN w:val="0"/>
        <w:adjustRightInd w:val="0"/>
        <w:spacing w:after="0" w:line="19" w:lineRule="atLeast"/>
        <w:jc w:val="center"/>
        <w:textAlignment w:val="baseline"/>
        <w:rPr>
          <w:rFonts w:ascii="PT Astra Serif" w:eastAsia="Times New Roman" w:hAnsi="PT Astra Serif" w:cs="Times New Roman"/>
          <w:b/>
          <w:i/>
          <w:color w:val="0070C0"/>
          <w:sz w:val="28"/>
          <w:szCs w:val="28"/>
          <w:lang w:val="ru-RU" w:eastAsia="ru-RU"/>
        </w:rPr>
      </w:pPr>
      <w:r w:rsidRPr="00572831">
        <w:rPr>
          <w:rFonts w:ascii="PT Astra Serif" w:eastAsia="Times New Roman" w:hAnsi="PT Astra Serif" w:cs="Times New Roman"/>
          <w:b/>
          <w:i/>
          <w:color w:val="0070C0"/>
          <w:sz w:val="28"/>
          <w:szCs w:val="28"/>
          <w:lang w:val="ru-RU" w:eastAsia="ru-RU"/>
        </w:rPr>
        <w:t>Диаграмма 1</w:t>
      </w:r>
    </w:p>
    <w:p w:rsidR="00FE3C5C" w:rsidRPr="00572831" w:rsidRDefault="00FE3C5C" w:rsidP="00ED1283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19" w:lineRule="atLeast"/>
        <w:ind w:firstLine="709"/>
        <w:jc w:val="center"/>
        <w:textAlignment w:val="baseline"/>
        <w:rPr>
          <w:rFonts w:ascii="PT Astra Serif" w:eastAsia="Times New Roman" w:hAnsi="PT Astra Serif" w:cs="Times New Roman"/>
          <w:b/>
          <w:color w:val="3366FF"/>
          <w:sz w:val="28"/>
          <w:szCs w:val="28"/>
          <w:highlight w:val="yellow"/>
          <w:lang w:val="ru-RU" w:eastAsia="ru-RU"/>
        </w:rPr>
      </w:pPr>
    </w:p>
    <w:p w:rsidR="00FE3C5C" w:rsidRPr="004B4D12" w:rsidRDefault="00FE3C5C" w:rsidP="00ED1283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19" w:lineRule="atLeast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val="ru-RU" w:eastAsia="ru-RU"/>
        </w:rPr>
      </w:pPr>
      <w:r w:rsidRPr="004B4D12">
        <w:rPr>
          <w:rFonts w:ascii="PT Astra Serif" w:eastAsia="Times New Roman" w:hAnsi="PT Astra Serif" w:cs="Times New Roman"/>
          <w:sz w:val="28"/>
          <w:szCs w:val="28"/>
          <w:lang w:val="ru-RU" w:eastAsia="ru-RU"/>
        </w:rPr>
        <w:t>Обращения концентрировались  в Правительстве Ульяновской области по всем имеющимся источникам поступления:</w:t>
      </w:r>
    </w:p>
    <w:p w:rsidR="00FE3C5C" w:rsidRPr="004B4D12" w:rsidRDefault="00FE3C5C" w:rsidP="00ED1283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19" w:lineRule="atLeast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val="ru-RU" w:eastAsia="ru-RU"/>
        </w:rPr>
      </w:pPr>
      <w:r w:rsidRPr="004B4D12">
        <w:rPr>
          <w:rFonts w:ascii="PT Astra Serif" w:eastAsia="Times New Roman" w:hAnsi="PT Astra Serif" w:cs="Times New Roman"/>
          <w:sz w:val="28"/>
          <w:szCs w:val="28"/>
          <w:lang w:val="ru-RU" w:eastAsia="ru-RU"/>
        </w:rPr>
        <w:lastRenderedPageBreak/>
        <w:t xml:space="preserve">«Личный кабинет», «Виртуальная приёмная» на официальном сайте Губернатора и Правительства Ульяновской области, а также система межведомственного взаимодействия (МЭДО) – 1671 обращение                                в электронной форме  (53 процента, то есть больше половины всей корреспонденции); </w:t>
      </w:r>
    </w:p>
    <w:p w:rsidR="00FE3C5C" w:rsidRPr="004B4D12" w:rsidRDefault="00FE3C5C" w:rsidP="00ED1283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19" w:lineRule="atLeast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val="ru-RU" w:eastAsia="ru-RU"/>
        </w:rPr>
      </w:pPr>
      <w:r w:rsidRPr="004B4D12">
        <w:rPr>
          <w:rFonts w:ascii="PT Astra Serif" w:eastAsia="Times New Roman" w:hAnsi="PT Astra Serif" w:cs="Times New Roman"/>
          <w:sz w:val="28"/>
          <w:szCs w:val="28"/>
          <w:lang w:val="ru-RU" w:eastAsia="ru-RU"/>
        </w:rPr>
        <w:t>почта – 1083 обращения в письменной форме (34 процента);</w:t>
      </w:r>
    </w:p>
    <w:p w:rsidR="004B4D12" w:rsidRPr="004B4D12" w:rsidRDefault="00FE3C5C" w:rsidP="00ED1283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19" w:lineRule="atLeast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val="ru-RU" w:eastAsia="ru-RU"/>
        </w:rPr>
      </w:pPr>
      <w:r w:rsidRPr="004B4D12">
        <w:rPr>
          <w:rFonts w:ascii="PT Astra Serif" w:eastAsia="Times New Roman" w:hAnsi="PT Astra Serif" w:cs="Times New Roman"/>
          <w:sz w:val="28"/>
          <w:szCs w:val="28"/>
          <w:lang w:val="ru-RU" w:eastAsia="ru-RU"/>
        </w:rPr>
        <w:t>личные, в том числе выездные, приёмы граждан, информационная справочная телефонная линия Правительства Ульяновской области –                      430 обращений в устной форме  (14 процентов).</w:t>
      </w:r>
    </w:p>
    <w:p w:rsidR="00FE3C5C" w:rsidRPr="004B4D12" w:rsidRDefault="00FE3C5C" w:rsidP="00ED1283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19" w:lineRule="atLeast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val="ru-RU" w:eastAsia="ru-RU"/>
        </w:rPr>
      </w:pPr>
      <w:r w:rsidRPr="004B4D12">
        <w:rPr>
          <w:rFonts w:ascii="PT Astra Serif" w:eastAsia="Times New Roman" w:hAnsi="PT Astra Serif" w:cs="Times New Roman"/>
          <w:sz w:val="28"/>
          <w:szCs w:val="28"/>
          <w:lang w:val="ru-RU" w:eastAsia="ru-RU"/>
        </w:rPr>
        <w:t>Мониторинг количественных показателей обращений по формам  их поступления выявил следующие тенденции (Диаграмма 2):</w:t>
      </w:r>
    </w:p>
    <w:p w:rsidR="00FE3C5C" w:rsidRPr="004B4D12" w:rsidRDefault="00FE3C5C" w:rsidP="00ED1283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19" w:lineRule="atLeast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val="ru-RU" w:eastAsia="ru-RU"/>
        </w:rPr>
      </w:pPr>
      <w:r w:rsidRPr="004B4D12">
        <w:rPr>
          <w:rFonts w:ascii="PT Astra Serif" w:eastAsia="Times New Roman" w:hAnsi="PT Astra Serif" w:cs="Times New Roman"/>
          <w:sz w:val="28"/>
          <w:szCs w:val="28"/>
          <w:lang w:val="ru-RU" w:eastAsia="ru-RU"/>
        </w:rPr>
        <w:t>рост числа обращений в форме электронного документа:</w:t>
      </w:r>
    </w:p>
    <w:p w:rsidR="00FE3C5C" w:rsidRPr="004B4D12" w:rsidRDefault="00FE3C5C" w:rsidP="00ED1283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19" w:lineRule="atLeast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val="ru-RU" w:eastAsia="ru-RU"/>
        </w:rPr>
      </w:pPr>
      <w:r w:rsidRPr="004B4D12">
        <w:rPr>
          <w:rFonts w:ascii="PT Astra Serif" w:eastAsia="Times New Roman" w:hAnsi="PT Astra Serif" w:cs="Times New Roman"/>
          <w:sz w:val="28"/>
          <w:szCs w:val="28"/>
          <w:lang w:val="ru-RU" w:eastAsia="ru-RU"/>
        </w:rPr>
        <w:t>в 1,3 раза относительно аналогичного периода 2018 года (1671 против 1287);</w:t>
      </w:r>
    </w:p>
    <w:p w:rsidR="00FE3C5C" w:rsidRPr="004B4D12" w:rsidRDefault="00FE3C5C" w:rsidP="00ED1283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19" w:lineRule="atLeast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val="ru-RU" w:eastAsia="ru-RU"/>
        </w:rPr>
      </w:pPr>
      <w:r w:rsidRPr="004B4D12">
        <w:rPr>
          <w:rFonts w:ascii="PT Astra Serif" w:eastAsia="Times New Roman" w:hAnsi="PT Astra Serif" w:cs="Times New Roman"/>
          <w:sz w:val="28"/>
          <w:szCs w:val="28"/>
          <w:lang w:val="ru-RU" w:eastAsia="ru-RU"/>
        </w:rPr>
        <w:t>в 1,4 раза относительно аналогичного периода 2017 года (1671 против 1230);</w:t>
      </w:r>
    </w:p>
    <w:p w:rsidR="00FE3C5C" w:rsidRPr="004B4D12" w:rsidRDefault="00FE3C5C" w:rsidP="00ED1283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19" w:lineRule="atLeast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val="ru-RU" w:eastAsia="ru-RU"/>
        </w:rPr>
      </w:pPr>
      <w:r w:rsidRPr="004B4D12">
        <w:rPr>
          <w:rFonts w:ascii="PT Astra Serif" w:eastAsia="Times New Roman" w:hAnsi="PT Astra Serif" w:cs="Times New Roman"/>
          <w:sz w:val="28"/>
          <w:szCs w:val="28"/>
          <w:lang w:val="ru-RU" w:eastAsia="ru-RU"/>
        </w:rPr>
        <w:t>рост количества устных обращений на 17 процентов сравнительно того же периода 2018 года (430 против 357) и одновременно уменьшение                      на 13 процентов сравнительно того же периода 2017 года (430 против 476);</w:t>
      </w:r>
    </w:p>
    <w:p w:rsidR="00FE3C5C" w:rsidRPr="004B4D12" w:rsidRDefault="00FE3C5C" w:rsidP="00ED1283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19" w:lineRule="atLeast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val="ru-RU" w:eastAsia="ru-RU"/>
        </w:rPr>
      </w:pPr>
      <w:r w:rsidRPr="004B4D12">
        <w:rPr>
          <w:rFonts w:ascii="PT Astra Serif" w:eastAsia="Times New Roman" w:hAnsi="PT Astra Serif" w:cs="Times New Roman"/>
          <w:sz w:val="28"/>
          <w:szCs w:val="28"/>
          <w:lang w:val="ru-RU" w:eastAsia="ru-RU"/>
        </w:rPr>
        <w:t>уменьшение:</w:t>
      </w:r>
    </w:p>
    <w:p w:rsidR="00FE3C5C" w:rsidRPr="004B4D12" w:rsidRDefault="00FE3C5C" w:rsidP="00ED1283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19" w:lineRule="atLeast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val="ru-RU" w:eastAsia="ru-RU"/>
        </w:rPr>
      </w:pPr>
      <w:r w:rsidRPr="004B4D12">
        <w:rPr>
          <w:rFonts w:ascii="PT Astra Serif" w:eastAsia="Times New Roman" w:hAnsi="PT Astra Serif" w:cs="Times New Roman"/>
          <w:sz w:val="28"/>
          <w:szCs w:val="28"/>
          <w:lang w:val="ru-RU" w:eastAsia="ru-RU"/>
        </w:rPr>
        <w:t>на 11 процентов количества письменных обращений по сравнению                 с аналогичным периодом 2018 года (1083 против 1219);</w:t>
      </w:r>
    </w:p>
    <w:p w:rsidR="00FE3C5C" w:rsidRPr="004B4D12" w:rsidRDefault="00FE3C5C" w:rsidP="00ED1283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19" w:lineRule="atLeast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val="ru-RU" w:eastAsia="ru-RU"/>
        </w:rPr>
      </w:pPr>
      <w:r w:rsidRPr="004B4D12">
        <w:rPr>
          <w:rFonts w:ascii="PT Astra Serif" w:eastAsia="Times New Roman" w:hAnsi="PT Astra Serif" w:cs="Times New Roman"/>
          <w:sz w:val="28"/>
          <w:szCs w:val="28"/>
          <w:lang w:val="ru-RU" w:eastAsia="ru-RU"/>
        </w:rPr>
        <w:t>на 40 процентов по сравнению с аналогичным периодом 2017 года (1083 против 1829).</w:t>
      </w:r>
    </w:p>
    <w:p w:rsidR="00FE3C5C" w:rsidRPr="00572831" w:rsidRDefault="00FE3C5C" w:rsidP="00ED1283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19" w:lineRule="atLeast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val="ru-RU" w:eastAsia="ru-RU"/>
        </w:rPr>
      </w:pPr>
    </w:p>
    <w:p w:rsidR="00FE3C5C" w:rsidRPr="00572831" w:rsidRDefault="00FE3C5C" w:rsidP="00ED1283">
      <w:pPr>
        <w:shd w:val="clear" w:color="auto" w:fill="365F91" w:themeFill="accent1" w:themeFillShade="BF"/>
        <w:tabs>
          <w:tab w:val="left" w:pos="900"/>
        </w:tabs>
        <w:overflowPunct w:val="0"/>
        <w:autoSpaceDE w:val="0"/>
        <w:autoSpaceDN w:val="0"/>
        <w:adjustRightInd w:val="0"/>
        <w:spacing w:after="0" w:line="19" w:lineRule="atLeast"/>
        <w:jc w:val="center"/>
        <w:textAlignment w:val="baseline"/>
        <w:rPr>
          <w:rFonts w:ascii="PT Astra Serif" w:eastAsia="Times New Roman" w:hAnsi="PT Astra Serif" w:cs="Times New Roman"/>
          <w:b/>
          <w:color w:val="FFFFFF" w:themeColor="background1"/>
          <w:sz w:val="26"/>
          <w:szCs w:val="26"/>
          <w:lang w:val="ru-RU" w:eastAsia="ru-RU"/>
        </w:rPr>
      </w:pPr>
      <w:r w:rsidRPr="00572831">
        <w:rPr>
          <w:rFonts w:ascii="PT Astra Serif" w:eastAsia="Times New Roman" w:hAnsi="PT Astra Serif" w:cs="Times New Roman"/>
          <w:b/>
          <w:color w:val="FFFFFF" w:themeColor="background1"/>
          <w:sz w:val="26"/>
          <w:szCs w:val="26"/>
          <w:lang w:val="ru-RU" w:eastAsia="ru-RU"/>
        </w:rPr>
        <w:t xml:space="preserve">Соотношение количества обращений по источникам поступления                       в </w:t>
      </w:r>
      <w:r>
        <w:rPr>
          <w:rFonts w:ascii="PT Astra Serif" w:eastAsia="Times New Roman" w:hAnsi="PT Astra Serif" w:cs="Times New Roman"/>
          <w:b/>
          <w:color w:val="FFFFFF" w:themeColor="background1"/>
          <w:sz w:val="26"/>
          <w:szCs w:val="26"/>
          <w:lang w:val="ru-RU" w:eastAsia="ru-RU"/>
        </w:rPr>
        <w:t>IV</w:t>
      </w:r>
      <w:r w:rsidRPr="00572831">
        <w:rPr>
          <w:rFonts w:ascii="PT Astra Serif" w:eastAsia="Times New Roman" w:hAnsi="PT Astra Serif" w:cs="Times New Roman"/>
          <w:b/>
          <w:color w:val="FFFFFF" w:themeColor="background1"/>
          <w:sz w:val="26"/>
          <w:szCs w:val="26"/>
          <w:lang w:val="ru-RU" w:eastAsia="ru-RU"/>
        </w:rPr>
        <w:t xml:space="preserve"> квартале 2019 года (в сравнении с аналогичными периодами                              2018 и 2017 годов</w:t>
      </w:r>
      <w:r>
        <w:rPr>
          <w:rFonts w:ascii="PT Astra Serif" w:eastAsia="Times New Roman" w:hAnsi="PT Astra Serif" w:cs="Times New Roman"/>
          <w:b/>
          <w:color w:val="FFFFFF" w:themeColor="background1"/>
          <w:sz w:val="26"/>
          <w:szCs w:val="26"/>
          <w:lang w:val="ru-RU" w:eastAsia="ru-RU"/>
        </w:rPr>
        <w:t>)</w:t>
      </w:r>
    </w:p>
    <w:p w:rsidR="00FE3C5C" w:rsidRDefault="00FE3C5C" w:rsidP="00ED1283">
      <w:pPr>
        <w:tabs>
          <w:tab w:val="left" w:pos="4153"/>
        </w:tabs>
        <w:overflowPunct w:val="0"/>
        <w:autoSpaceDE w:val="0"/>
        <w:autoSpaceDN w:val="0"/>
        <w:adjustRightInd w:val="0"/>
        <w:spacing w:after="0" w:line="19" w:lineRule="atLeast"/>
        <w:ind w:firstLine="709"/>
        <w:jc w:val="both"/>
        <w:textAlignment w:val="baseline"/>
        <w:rPr>
          <w:rFonts w:ascii="PT Astra Serif" w:eastAsia="Times New Roman" w:hAnsi="PT Astra Serif" w:cs="Times New Roman"/>
          <w:i/>
          <w:sz w:val="28"/>
          <w:szCs w:val="28"/>
          <w:lang w:val="ru-RU" w:eastAsia="ru-RU"/>
        </w:rPr>
      </w:pPr>
    </w:p>
    <w:p w:rsidR="00FE3C5C" w:rsidRPr="00572831" w:rsidRDefault="00FE3C5C" w:rsidP="00ED1283">
      <w:pPr>
        <w:tabs>
          <w:tab w:val="left" w:pos="4153"/>
        </w:tabs>
        <w:overflowPunct w:val="0"/>
        <w:autoSpaceDE w:val="0"/>
        <w:autoSpaceDN w:val="0"/>
        <w:adjustRightInd w:val="0"/>
        <w:spacing w:after="0" w:line="19" w:lineRule="atLeast"/>
        <w:jc w:val="both"/>
        <w:textAlignment w:val="baseline"/>
        <w:rPr>
          <w:rFonts w:ascii="PT Astra Serif" w:eastAsia="Times New Roman" w:hAnsi="PT Astra Serif" w:cs="Times New Roman"/>
          <w:i/>
          <w:sz w:val="28"/>
          <w:szCs w:val="28"/>
          <w:lang w:val="ru-RU" w:eastAsia="ru-RU"/>
        </w:rPr>
      </w:pPr>
      <w:bookmarkStart w:id="0" w:name="_GoBack"/>
      <w:r w:rsidRPr="007715F3">
        <w:rPr>
          <w:noProof/>
          <w:sz w:val="18"/>
          <w:lang w:val="ru-RU" w:eastAsia="ru-RU"/>
        </w:rPr>
        <w:drawing>
          <wp:inline distT="0" distB="0" distL="0" distR="0">
            <wp:extent cx="5943600" cy="2809875"/>
            <wp:effectExtent l="19050" t="19050" r="19050" b="952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  <w:r w:rsidRPr="00572831">
        <w:rPr>
          <w:rFonts w:ascii="PT Astra Serif" w:eastAsia="Times New Roman" w:hAnsi="PT Astra Serif" w:cs="Times New Roman"/>
          <w:i/>
          <w:sz w:val="28"/>
          <w:szCs w:val="28"/>
          <w:lang w:val="ru-RU" w:eastAsia="ru-RU"/>
        </w:rPr>
        <w:tab/>
      </w:r>
    </w:p>
    <w:p w:rsidR="00FE3C5C" w:rsidRPr="00572831" w:rsidRDefault="00FE3C5C" w:rsidP="00ED1283">
      <w:pPr>
        <w:tabs>
          <w:tab w:val="left" w:pos="0"/>
        </w:tabs>
        <w:overflowPunct w:val="0"/>
        <w:autoSpaceDE w:val="0"/>
        <w:autoSpaceDN w:val="0"/>
        <w:adjustRightInd w:val="0"/>
        <w:spacing w:after="0" w:line="19" w:lineRule="atLeast"/>
        <w:jc w:val="center"/>
        <w:textAlignment w:val="baseline"/>
        <w:rPr>
          <w:rFonts w:ascii="PT Astra Serif" w:eastAsia="Times New Roman" w:hAnsi="PT Astra Serif" w:cs="Times New Roman"/>
          <w:b/>
          <w:i/>
          <w:color w:val="365F91" w:themeColor="accent1" w:themeShade="BF"/>
          <w:sz w:val="28"/>
          <w:szCs w:val="28"/>
          <w:lang w:val="ru-RU" w:eastAsia="ru-RU"/>
        </w:rPr>
      </w:pPr>
      <w:r w:rsidRPr="00572831">
        <w:rPr>
          <w:rFonts w:ascii="PT Astra Serif" w:eastAsia="Times New Roman" w:hAnsi="PT Astra Serif" w:cs="Times New Roman"/>
          <w:b/>
          <w:i/>
          <w:color w:val="365F91" w:themeColor="accent1" w:themeShade="BF"/>
          <w:sz w:val="28"/>
          <w:szCs w:val="28"/>
          <w:lang w:val="ru-RU" w:eastAsia="ru-RU"/>
        </w:rPr>
        <w:t>Диаграмма 2</w:t>
      </w:r>
    </w:p>
    <w:p w:rsidR="00FE3C5C" w:rsidRPr="004B4D12" w:rsidRDefault="00FE3C5C" w:rsidP="004B4D12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val="ru-RU" w:eastAsia="ru-RU"/>
        </w:rPr>
      </w:pPr>
      <w:r w:rsidRPr="004B4D12">
        <w:rPr>
          <w:rFonts w:ascii="PT Astra Serif" w:eastAsia="Times New Roman" w:hAnsi="PT Astra Serif" w:cs="Times New Roman"/>
          <w:sz w:val="28"/>
          <w:szCs w:val="28"/>
          <w:lang w:val="ru-RU" w:eastAsia="ru-RU"/>
        </w:rPr>
        <w:t>По результатам анализа динамики ключевых показателей в работе                                  с обращениями выявлены следующие тенденции:</w:t>
      </w:r>
    </w:p>
    <w:p w:rsidR="00FE3C5C" w:rsidRPr="004B4D12" w:rsidRDefault="00FE3C5C" w:rsidP="004B4D12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val="ru-RU" w:eastAsia="ru-RU"/>
        </w:rPr>
      </w:pPr>
      <w:r w:rsidRPr="004B4D12">
        <w:rPr>
          <w:rFonts w:ascii="PT Astra Serif" w:eastAsia="Times New Roman" w:hAnsi="PT Astra Serif" w:cs="Times New Roman"/>
          <w:sz w:val="28"/>
          <w:szCs w:val="28"/>
          <w:lang w:val="ru-RU" w:eastAsia="ru-RU"/>
        </w:rPr>
        <w:t>уменьшение числа коллективных обращений:</w:t>
      </w:r>
    </w:p>
    <w:p w:rsidR="00FE3C5C" w:rsidRPr="004B4D12" w:rsidRDefault="00FE3C5C" w:rsidP="004B4D12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val="ru-RU" w:eastAsia="ru-RU"/>
        </w:rPr>
      </w:pPr>
      <w:r w:rsidRPr="004B4D12">
        <w:rPr>
          <w:rFonts w:ascii="PT Astra Serif" w:eastAsia="Times New Roman" w:hAnsi="PT Astra Serif" w:cs="Times New Roman"/>
          <w:sz w:val="28"/>
          <w:szCs w:val="28"/>
          <w:lang w:val="ru-RU" w:eastAsia="ru-RU"/>
        </w:rPr>
        <w:t xml:space="preserve">в 2,2 раза по сравнению с </w:t>
      </w:r>
      <w:r w:rsidRPr="004B4D12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IV</w:t>
      </w:r>
      <w:r w:rsidRPr="004B4D12">
        <w:rPr>
          <w:rFonts w:ascii="PT Astra Serif" w:eastAsia="Times New Roman" w:hAnsi="PT Astra Serif" w:cs="Times New Roman"/>
          <w:sz w:val="28"/>
          <w:szCs w:val="28"/>
          <w:lang w:val="ru-RU" w:eastAsia="ru-RU"/>
        </w:rPr>
        <w:t xml:space="preserve"> кварталом 2017 года (80 против 172);</w:t>
      </w:r>
    </w:p>
    <w:p w:rsidR="00FE3C5C" w:rsidRPr="004B4D12" w:rsidRDefault="00FE3C5C" w:rsidP="004B4D12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val="ru-RU" w:eastAsia="ru-RU"/>
        </w:rPr>
      </w:pPr>
      <w:r w:rsidRPr="004B4D12">
        <w:rPr>
          <w:rFonts w:ascii="PT Astra Serif" w:eastAsia="Times New Roman" w:hAnsi="PT Astra Serif" w:cs="Times New Roman"/>
          <w:sz w:val="28"/>
          <w:szCs w:val="28"/>
          <w:lang w:val="ru-RU" w:eastAsia="ru-RU"/>
        </w:rPr>
        <w:t xml:space="preserve">в 1,8 раза по сравнению с </w:t>
      </w:r>
      <w:r w:rsidRPr="004B4D12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IV</w:t>
      </w:r>
      <w:r w:rsidRPr="004B4D12">
        <w:rPr>
          <w:rFonts w:ascii="PT Astra Serif" w:eastAsia="Times New Roman" w:hAnsi="PT Astra Serif" w:cs="Times New Roman"/>
          <w:sz w:val="28"/>
          <w:szCs w:val="28"/>
          <w:lang w:val="ru-RU" w:eastAsia="ru-RU"/>
        </w:rPr>
        <w:t xml:space="preserve"> кварталом 2018 года (80 против 109);</w:t>
      </w:r>
    </w:p>
    <w:p w:rsidR="00FE3C5C" w:rsidRPr="004B4D12" w:rsidRDefault="00FE3C5C" w:rsidP="004B4D12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val="ru-RU" w:eastAsia="ru-RU"/>
        </w:rPr>
      </w:pPr>
      <w:r w:rsidRPr="004B4D12">
        <w:rPr>
          <w:rFonts w:ascii="PT Astra Serif" w:eastAsia="Times New Roman" w:hAnsi="PT Astra Serif" w:cs="Times New Roman"/>
          <w:sz w:val="28"/>
          <w:szCs w:val="28"/>
          <w:lang w:val="ru-RU" w:eastAsia="ru-RU"/>
        </w:rPr>
        <w:t>сокращение количества повторных обращений:</w:t>
      </w:r>
    </w:p>
    <w:p w:rsidR="00FE3C5C" w:rsidRPr="004B4D12" w:rsidRDefault="00FE3C5C" w:rsidP="004B4D12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val="ru-RU" w:eastAsia="ru-RU"/>
        </w:rPr>
      </w:pPr>
      <w:r w:rsidRPr="004B4D12">
        <w:rPr>
          <w:rFonts w:ascii="PT Astra Serif" w:eastAsia="Times New Roman" w:hAnsi="PT Astra Serif" w:cs="Times New Roman"/>
          <w:sz w:val="28"/>
          <w:szCs w:val="28"/>
          <w:lang w:val="ru-RU" w:eastAsia="ru-RU"/>
        </w:rPr>
        <w:t xml:space="preserve"> в 31 раз относительно </w:t>
      </w:r>
      <w:r w:rsidRPr="004B4D12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IV</w:t>
      </w:r>
      <w:r w:rsidRPr="004B4D12">
        <w:rPr>
          <w:rFonts w:ascii="PT Astra Serif" w:eastAsia="Times New Roman" w:hAnsi="PT Astra Serif" w:cs="Times New Roman"/>
          <w:sz w:val="28"/>
          <w:szCs w:val="28"/>
          <w:lang w:val="ru-RU" w:eastAsia="ru-RU"/>
        </w:rPr>
        <w:t xml:space="preserve"> квартала 2017 года (14 против 432);</w:t>
      </w:r>
    </w:p>
    <w:p w:rsidR="00FE3C5C" w:rsidRPr="004B4D12" w:rsidRDefault="00FE3C5C" w:rsidP="004B4D12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val="ru-RU" w:eastAsia="ru-RU"/>
        </w:rPr>
      </w:pPr>
      <w:r w:rsidRPr="004B4D12">
        <w:rPr>
          <w:rFonts w:ascii="PT Astra Serif" w:eastAsia="Times New Roman" w:hAnsi="PT Astra Serif" w:cs="Times New Roman"/>
          <w:sz w:val="28"/>
          <w:szCs w:val="28"/>
          <w:lang w:val="ru-RU" w:eastAsia="ru-RU"/>
        </w:rPr>
        <w:t xml:space="preserve">в 25 раз относительно </w:t>
      </w:r>
      <w:r w:rsidRPr="004B4D12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IV</w:t>
      </w:r>
      <w:r w:rsidRPr="004B4D12">
        <w:rPr>
          <w:rFonts w:ascii="PT Astra Serif" w:eastAsia="Times New Roman" w:hAnsi="PT Astra Serif" w:cs="Times New Roman"/>
          <w:sz w:val="28"/>
          <w:szCs w:val="28"/>
          <w:lang w:val="ru-RU" w:eastAsia="ru-RU"/>
        </w:rPr>
        <w:t xml:space="preserve"> квартала 2018 года (14 против 354).</w:t>
      </w:r>
    </w:p>
    <w:p w:rsidR="00FE3C5C" w:rsidRPr="004B4D12" w:rsidRDefault="00FE3C5C" w:rsidP="004B4D12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val="ru-RU" w:eastAsia="ru-RU"/>
        </w:rPr>
      </w:pPr>
      <w:r w:rsidRPr="004B4D12">
        <w:rPr>
          <w:rFonts w:ascii="PT Astra Serif" w:eastAsia="Times New Roman" w:hAnsi="PT Astra Serif" w:cs="Times New Roman"/>
          <w:sz w:val="28"/>
          <w:szCs w:val="28"/>
          <w:lang w:val="ru-RU" w:eastAsia="ru-RU"/>
        </w:rPr>
        <w:t>Относительно видов обращений, в частности жалоб, направленных                     в Правительство Ульяновской области в отчётном интервале, следует отметить их уменьшение почти в 2 раза по сравнению с аналогичным периодом 2017 года (14 против 26) и сохранение на том же уровне                           по сравнению с аналогичным периодом 2018 года (14).</w:t>
      </w:r>
    </w:p>
    <w:p w:rsidR="00FE3C5C" w:rsidRPr="004B4D12" w:rsidRDefault="00FE3C5C" w:rsidP="004B4D12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val="ru-RU" w:eastAsia="ru-RU"/>
        </w:rPr>
      </w:pPr>
      <w:r w:rsidRPr="004B4D12">
        <w:rPr>
          <w:rFonts w:ascii="PT Astra Serif" w:eastAsia="Times New Roman" w:hAnsi="PT Astra Serif" w:cs="Times New Roman"/>
          <w:sz w:val="28"/>
          <w:szCs w:val="28"/>
          <w:lang w:val="ru-RU" w:eastAsia="ru-RU"/>
        </w:rPr>
        <w:t>При этом количество предложений сократилось:</w:t>
      </w:r>
    </w:p>
    <w:p w:rsidR="00FE3C5C" w:rsidRPr="004B4D12" w:rsidRDefault="00FE3C5C" w:rsidP="004B4D12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val="ru-RU" w:eastAsia="ru-RU"/>
        </w:rPr>
      </w:pPr>
      <w:r w:rsidRPr="004B4D12">
        <w:rPr>
          <w:rFonts w:ascii="PT Astra Serif" w:eastAsia="Times New Roman" w:hAnsi="PT Astra Serif" w:cs="Times New Roman"/>
          <w:sz w:val="28"/>
          <w:szCs w:val="28"/>
          <w:lang w:val="ru-RU" w:eastAsia="ru-RU"/>
        </w:rPr>
        <w:t xml:space="preserve">в 4,5 раза сравнительно </w:t>
      </w:r>
      <w:r w:rsidRPr="004B4D12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IV</w:t>
      </w:r>
      <w:r w:rsidRPr="004B4D12">
        <w:rPr>
          <w:rFonts w:ascii="PT Astra Serif" w:eastAsia="Times New Roman" w:hAnsi="PT Astra Serif" w:cs="Times New Roman"/>
          <w:sz w:val="28"/>
          <w:szCs w:val="28"/>
          <w:lang w:val="ru-RU" w:eastAsia="ru-RU"/>
        </w:rPr>
        <w:t xml:space="preserve"> квартала 2017 года (6 против 27);</w:t>
      </w:r>
    </w:p>
    <w:p w:rsidR="0082694E" w:rsidRPr="004B4D12" w:rsidRDefault="00FE3C5C" w:rsidP="004B4D12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val="ru-RU" w:eastAsia="ru-RU"/>
        </w:rPr>
      </w:pPr>
      <w:r w:rsidRPr="004B4D12">
        <w:rPr>
          <w:rFonts w:ascii="PT Astra Serif" w:eastAsia="Times New Roman" w:hAnsi="PT Astra Serif" w:cs="Times New Roman"/>
          <w:sz w:val="28"/>
          <w:szCs w:val="28"/>
          <w:lang w:val="ru-RU" w:eastAsia="ru-RU"/>
        </w:rPr>
        <w:t xml:space="preserve">в 2,3 раза сравнительно </w:t>
      </w:r>
      <w:r w:rsidRPr="004B4D12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IV</w:t>
      </w:r>
      <w:r w:rsidRPr="004B4D12">
        <w:rPr>
          <w:rFonts w:ascii="PT Astra Serif" w:eastAsia="Times New Roman" w:hAnsi="PT Astra Serif" w:cs="Times New Roman"/>
          <w:sz w:val="28"/>
          <w:szCs w:val="28"/>
          <w:lang w:val="ru-RU" w:eastAsia="ru-RU"/>
        </w:rPr>
        <w:t xml:space="preserve"> квартала 2018 года (6 против 14).</w:t>
      </w:r>
    </w:p>
    <w:p w:rsidR="00FE3C5C" w:rsidRPr="004B4D12" w:rsidRDefault="00FE3C5C" w:rsidP="004B4D12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val="ru-RU" w:eastAsia="ru-RU"/>
        </w:rPr>
      </w:pPr>
      <w:r w:rsidRPr="004B4D12">
        <w:rPr>
          <w:rFonts w:ascii="PT Astra Serif" w:eastAsia="Times New Roman" w:hAnsi="PT Astra Serif" w:cs="Times New Roman"/>
          <w:sz w:val="28"/>
          <w:szCs w:val="28"/>
          <w:lang w:val="ru-RU" w:eastAsia="ru-RU"/>
        </w:rPr>
        <w:t>Средний по Ульяновской области показатель активности обращений в расчёте на 10 тысяч населения (далее –  средний по области показатель) составил 25,7, это на 11 процентов выше, чем в аналогичном периоде 2018 года (23) и на 10  процентов ниже, чем в аналогичном периоде 2017 года (28,4).</w:t>
      </w:r>
    </w:p>
    <w:p w:rsidR="00FE3C5C" w:rsidRPr="004B4D12" w:rsidRDefault="00FE3C5C" w:rsidP="004B4D12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val="ru-RU" w:eastAsia="ru-RU"/>
        </w:rPr>
      </w:pPr>
      <w:r w:rsidRPr="004B4D12">
        <w:rPr>
          <w:rFonts w:ascii="PT Astra Serif" w:eastAsia="Times New Roman" w:hAnsi="PT Astra Serif" w:cs="Times New Roman"/>
          <w:sz w:val="28"/>
          <w:szCs w:val="28"/>
          <w:lang w:val="ru-RU" w:eastAsia="ru-RU"/>
        </w:rPr>
        <w:t>Анализ активности обращений в муниципальных образованиях Ульяновской области в отчётном интервале позволил выявить следующее.</w:t>
      </w:r>
    </w:p>
    <w:p w:rsidR="00FE3C5C" w:rsidRPr="004B4D12" w:rsidRDefault="00FE3C5C" w:rsidP="004B4D12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val="ru-RU" w:eastAsia="ru-RU"/>
        </w:rPr>
      </w:pPr>
      <w:r w:rsidRPr="004B4D12">
        <w:rPr>
          <w:rFonts w:ascii="PT Astra Serif" w:eastAsia="Times New Roman" w:hAnsi="PT Astra Serif" w:cs="Times New Roman"/>
          <w:sz w:val="28"/>
          <w:szCs w:val="28"/>
          <w:lang w:val="ru-RU" w:eastAsia="ru-RU"/>
        </w:rPr>
        <w:t>В текущем периоде средний по области показатель превышен                      по 4 муниципальным образованиям Ульяновской области  (Карсунский, Майнский, Сенгилеевский, Сурский районы), причём  лишь в одном из них (Сенгилеевский район), превышение можно считать существенным                        (в 1,4 раза).  В остальных 3-х муниципальных образованиях Ульяновской области показатель активности обращений в среднем превышен                             на 7 процентов.</w:t>
      </w:r>
    </w:p>
    <w:p w:rsidR="00FE3C5C" w:rsidRPr="004B4D12" w:rsidRDefault="00FE3C5C" w:rsidP="004B4D12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val="ru-RU" w:eastAsia="ru-RU"/>
        </w:rPr>
      </w:pPr>
      <w:r w:rsidRPr="004B4D12">
        <w:rPr>
          <w:rFonts w:ascii="PT Astra Serif" w:eastAsia="Times New Roman" w:hAnsi="PT Astra Serif" w:cs="Times New Roman"/>
          <w:sz w:val="28"/>
          <w:szCs w:val="28"/>
          <w:lang w:val="ru-RU" w:eastAsia="ru-RU"/>
        </w:rPr>
        <w:t>«Приграничную» зону заняли 2 муниципальных образования                             (Инзенский район (24,9, имея значение ниже среднего показателя                            на 3 процента) и город Ульяновск (25,3, имея значение ниже среднего показателя на 2 процента).</w:t>
      </w:r>
    </w:p>
    <w:p w:rsidR="00FE3C5C" w:rsidRDefault="00FE3C5C" w:rsidP="00ED1283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19" w:lineRule="atLeast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val="ru-RU" w:eastAsia="ru-RU"/>
        </w:rPr>
      </w:pPr>
      <w:r>
        <w:rPr>
          <w:rFonts w:ascii="PT Astra Serif" w:eastAsia="Times New Roman" w:hAnsi="PT Astra Serif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6000750" cy="5523955"/>
            <wp:effectExtent l="95250" t="38100" r="95250" b="153035"/>
            <wp:docPr id="16" name="Рисунок 16" descr="D:\картинки для МО\iTA21MA03_повак4кв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ртинки для МО\iTA21MA03_повак4кв201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242" cy="5522567"/>
                    </a:xfrm>
                    <a:prstGeom prst="rect">
                      <a:avLst/>
                    </a:prstGeom>
                    <a:noFill/>
                    <a:ln w="38100" cap="rnd" cmpd="sng">
                      <a:solidFill>
                        <a:srgbClr val="FF0000"/>
                      </a:solidFill>
                    </a:ln>
                    <a:effectLst>
                      <a:outerShdw blurRad="50800" dist="50800" dir="5400000" algn="ctr" rotWithShape="0">
                        <a:srgbClr val="FFCCFF"/>
                      </a:outerShdw>
                    </a:effectLst>
                  </pic:spPr>
                </pic:pic>
              </a:graphicData>
            </a:graphic>
          </wp:inline>
        </w:drawing>
      </w:r>
    </w:p>
    <w:tbl>
      <w:tblPr>
        <w:tblStyle w:val="3"/>
        <w:tblW w:w="9497" w:type="dxa"/>
        <w:tblInd w:w="250" w:type="dxa"/>
        <w:tblLayout w:type="fixed"/>
        <w:tblLook w:val="04A0"/>
      </w:tblPr>
      <w:tblGrid>
        <w:gridCol w:w="709"/>
        <w:gridCol w:w="4901"/>
        <w:gridCol w:w="1726"/>
        <w:gridCol w:w="2161"/>
      </w:tblGrid>
      <w:tr w:rsidR="00FE3C5C" w:rsidRPr="00572831" w:rsidTr="00C451C7">
        <w:trPr>
          <w:trHeight w:val="540"/>
        </w:trPr>
        <w:tc>
          <w:tcPr>
            <w:tcW w:w="709" w:type="dxa"/>
          </w:tcPr>
          <w:p w:rsidR="00FE3C5C" w:rsidRPr="00572831" w:rsidRDefault="00FE3C5C" w:rsidP="00ED1283">
            <w:pPr>
              <w:tabs>
                <w:tab w:val="left" w:pos="2445"/>
              </w:tabs>
              <w:overflowPunct w:val="0"/>
              <w:autoSpaceDE w:val="0"/>
              <w:autoSpaceDN w:val="0"/>
              <w:adjustRightInd w:val="0"/>
              <w:spacing w:line="19" w:lineRule="atLeast"/>
              <w:jc w:val="center"/>
              <w:textAlignment w:val="baseline"/>
              <w:rPr>
                <w:rFonts w:ascii="PT Astra Serif" w:eastAsiaTheme="minorHAnsi" w:hAnsi="PT Astra Serif" w:cstheme="minorBidi"/>
                <w:b/>
                <w:sz w:val="26"/>
                <w:szCs w:val="26"/>
                <w:lang w:val="ru-RU" w:eastAsia="en-US"/>
              </w:rPr>
            </w:pPr>
          </w:p>
          <w:p w:rsidR="00FE3C5C" w:rsidRPr="00572831" w:rsidRDefault="00FE3C5C" w:rsidP="00ED1283">
            <w:pPr>
              <w:tabs>
                <w:tab w:val="left" w:pos="2445"/>
              </w:tabs>
              <w:overflowPunct w:val="0"/>
              <w:autoSpaceDE w:val="0"/>
              <w:autoSpaceDN w:val="0"/>
              <w:adjustRightInd w:val="0"/>
              <w:spacing w:line="19" w:lineRule="atLeast"/>
              <w:jc w:val="center"/>
              <w:textAlignment w:val="baseline"/>
              <w:rPr>
                <w:rFonts w:ascii="PT Astra Serif" w:eastAsiaTheme="minorHAnsi" w:hAnsi="PT Astra Serif" w:cstheme="minorBidi"/>
                <w:b/>
                <w:sz w:val="26"/>
                <w:szCs w:val="26"/>
                <w:lang w:val="ru-RU" w:eastAsia="en-US"/>
              </w:rPr>
            </w:pPr>
            <w:r w:rsidRPr="00572831">
              <w:rPr>
                <w:rFonts w:ascii="PT Astra Serif" w:eastAsiaTheme="minorHAnsi" w:hAnsi="PT Astra Serif" w:cstheme="minorBidi"/>
                <w:b/>
                <w:sz w:val="26"/>
                <w:szCs w:val="26"/>
                <w:lang w:val="ru-RU" w:eastAsia="en-US"/>
              </w:rPr>
              <w:t>№</w:t>
            </w:r>
          </w:p>
          <w:p w:rsidR="00FE3C5C" w:rsidRPr="00572831" w:rsidRDefault="00FE3C5C" w:rsidP="00ED1283">
            <w:pPr>
              <w:tabs>
                <w:tab w:val="left" w:pos="2445"/>
              </w:tabs>
              <w:overflowPunct w:val="0"/>
              <w:autoSpaceDE w:val="0"/>
              <w:autoSpaceDN w:val="0"/>
              <w:adjustRightInd w:val="0"/>
              <w:spacing w:line="19" w:lineRule="atLeast"/>
              <w:jc w:val="center"/>
              <w:textAlignment w:val="baseline"/>
              <w:rPr>
                <w:rFonts w:ascii="PT Astra Serif" w:eastAsiaTheme="minorHAnsi" w:hAnsi="PT Astra Serif" w:cstheme="minorBidi"/>
                <w:b/>
                <w:sz w:val="26"/>
                <w:szCs w:val="26"/>
                <w:lang w:val="ru-RU" w:eastAsia="en-US"/>
              </w:rPr>
            </w:pPr>
            <w:r w:rsidRPr="00572831">
              <w:rPr>
                <w:rFonts w:ascii="PT Astra Serif" w:eastAsiaTheme="minorHAnsi" w:hAnsi="PT Astra Serif" w:cstheme="minorBidi"/>
                <w:b/>
                <w:sz w:val="26"/>
                <w:szCs w:val="26"/>
                <w:lang w:val="ru-RU" w:eastAsia="en-US"/>
              </w:rPr>
              <w:t>п/п</w:t>
            </w:r>
          </w:p>
        </w:tc>
        <w:tc>
          <w:tcPr>
            <w:tcW w:w="4901" w:type="dxa"/>
            <w:noWrap/>
          </w:tcPr>
          <w:p w:rsidR="00FE3C5C" w:rsidRPr="00572831" w:rsidRDefault="00FE3C5C" w:rsidP="00ED1283">
            <w:pPr>
              <w:tabs>
                <w:tab w:val="left" w:pos="2445"/>
                <w:tab w:val="left" w:pos="3945"/>
              </w:tabs>
              <w:overflowPunct w:val="0"/>
              <w:autoSpaceDE w:val="0"/>
              <w:autoSpaceDN w:val="0"/>
              <w:adjustRightInd w:val="0"/>
              <w:spacing w:line="19" w:lineRule="atLeast"/>
              <w:textAlignment w:val="baseline"/>
              <w:rPr>
                <w:rFonts w:ascii="PT Astra Serif" w:eastAsiaTheme="minorHAnsi" w:hAnsi="PT Astra Serif" w:cstheme="minorBidi"/>
                <w:b/>
                <w:sz w:val="26"/>
                <w:szCs w:val="26"/>
                <w:lang w:val="ru-RU" w:eastAsia="en-US"/>
              </w:rPr>
            </w:pPr>
            <w:r w:rsidRPr="00572831">
              <w:rPr>
                <w:rFonts w:ascii="PT Astra Serif" w:eastAsiaTheme="minorHAnsi" w:hAnsi="PT Astra Serif" w:cstheme="minorBidi"/>
                <w:b/>
                <w:sz w:val="26"/>
                <w:szCs w:val="26"/>
                <w:lang w:val="ru-RU" w:eastAsia="en-US"/>
              </w:rPr>
              <w:tab/>
            </w:r>
            <w:r w:rsidRPr="00572831">
              <w:rPr>
                <w:rFonts w:ascii="PT Astra Serif" w:eastAsiaTheme="minorHAnsi" w:hAnsi="PT Astra Serif" w:cstheme="minorBidi"/>
                <w:b/>
                <w:sz w:val="26"/>
                <w:szCs w:val="26"/>
                <w:lang w:val="ru-RU" w:eastAsia="en-US"/>
              </w:rPr>
              <w:tab/>
            </w:r>
          </w:p>
          <w:p w:rsidR="00FE3C5C" w:rsidRPr="00572831" w:rsidRDefault="00FE3C5C" w:rsidP="00ED1283">
            <w:pPr>
              <w:tabs>
                <w:tab w:val="left" w:pos="2445"/>
              </w:tabs>
              <w:overflowPunct w:val="0"/>
              <w:autoSpaceDE w:val="0"/>
              <w:autoSpaceDN w:val="0"/>
              <w:adjustRightInd w:val="0"/>
              <w:spacing w:line="19" w:lineRule="atLeast"/>
              <w:jc w:val="center"/>
              <w:textAlignment w:val="baseline"/>
              <w:rPr>
                <w:rFonts w:ascii="PT Astra Serif" w:eastAsiaTheme="minorHAnsi" w:hAnsi="PT Astra Serif" w:cstheme="minorBidi"/>
                <w:b/>
                <w:sz w:val="26"/>
                <w:szCs w:val="26"/>
                <w:lang w:val="ru-RU" w:eastAsia="en-US"/>
              </w:rPr>
            </w:pPr>
            <w:r w:rsidRPr="00572831">
              <w:rPr>
                <w:rFonts w:ascii="PT Astra Serif" w:eastAsiaTheme="minorHAnsi" w:hAnsi="PT Astra Serif" w:cstheme="minorBidi"/>
                <w:b/>
                <w:sz w:val="26"/>
                <w:szCs w:val="26"/>
                <w:lang w:val="ru-RU" w:eastAsia="en-US"/>
              </w:rPr>
              <w:t>Наименование муниципального</w:t>
            </w:r>
          </w:p>
          <w:p w:rsidR="00FE3C5C" w:rsidRPr="00572831" w:rsidRDefault="00FE3C5C" w:rsidP="00ED1283">
            <w:pPr>
              <w:overflowPunct w:val="0"/>
              <w:autoSpaceDE w:val="0"/>
              <w:autoSpaceDN w:val="0"/>
              <w:adjustRightInd w:val="0"/>
              <w:spacing w:line="19" w:lineRule="atLeast"/>
              <w:jc w:val="center"/>
              <w:textAlignment w:val="baseline"/>
              <w:rPr>
                <w:rFonts w:ascii="PT Astra Serif" w:eastAsiaTheme="minorHAnsi" w:hAnsi="PT Astra Serif" w:cstheme="minorBidi"/>
                <w:b/>
                <w:sz w:val="26"/>
                <w:szCs w:val="26"/>
                <w:lang w:val="ru-RU" w:eastAsia="en-US"/>
              </w:rPr>
            </w:pPr>
            <w:r w:rsidRPr="00572831">
              <w:rPr>
                <w:rFonts w:ascii="PT Astra Serif" w:eastAsiaTheme="minorHAnsi" w:hAnsi="PT Astra Serif" w:cstheme="minorBidi"/>
                <w:b/>
                <w:sz w:val="26"/>
                <w:szCs w:val="26"/>
                <w:lang w:val="ru-RU" w:eastAsia="en-US"/>
              </w:rPr>
              <w:t xml:space="preserve">образования Ульяновской области, </w:t>
            </w:r>
          </w:p>
          <w:p w:rsidR="00FE3C5C" w:rsidRPr="00572831" w:rsidRDefault="00FE3C5C" w:rsidP="00ED1283">
            <w:pPr>
              <w:overflowPunct w:val="0"/>
              <w:autoSpaceDE w:val="0"/>
              <w:autoSpaceDN w:val="0"/>
              <w:adjustRightInd w:val="0"/>
              <w:spacing w:line="19" w:lineRule="atLeast"/>
              <w:jc w:val="center"/>
              <w:textAlignment w:val="baseline"/>
              <w:rPr>
                <w:rFonts w:ascii="PT Astra Serif" w:eastAsiaTheme="minorHAnsi" w:hAnsi="PT Astra Serif" w:cstheme="minorBidi"/>
                <w:b/>
                <w:sz w:val="26"/>
                <w:szCs w:val="26"/>
                <w:lang w:val="ru-RU" w:eastAsia="en-US"/>
              </w:rPr>
            </w:pPr>
            <w:r w:rsidRPr="00572831">
              <w:rPr>
                <w:rFonts w:ascii="PT Astra Serif" w:eastAsiaTheme="minorHAnsi" w:hAnsi="PT Astra Serif" w:cstheme="minorBidi"/>
                <w:b/>
                <w:sz w:val="26"/>
                <w:szCs w:val="26"/>
                <w:lang w:val="ru-RU" w:eastAsia="en-US"/>
              </w:rPr>
              <w:t xml:space="preserve">в котором показатель активности обращений </w:t>
            </w:r>
            <w:r w:rsidRPr="00572831">
              <w:rPr>
                <w:rFonts w:ascii="PT Astra Serif" w:eastAsiaTheme="minorHAnsi" w:hAnsi="PT Astra Serif" w:cstheme="minorBidi"/>
                <w:b/>
                <w:sz w:val="26"/>
                <w:szCs w:val="26"/>
                <w:u w:val="single" w:color="FF0000"/>
                <w:lang w:val="ru-RU" w:eastAsia="en-US"/>
              </w:rPr>
              <w:t>превышает</w:t>
            </w:r>
            <w:r w:rsidRPr="00572831">
              <w:rPr>
                <w:rFonts w:ascii="PT Astra Serif" w:eastAsiaTheme="minorHAnsi" w:hAnsi="PT Astra Serif" w:cstheme="minorBidi"/>
                <w:b/>
                <w:sz w:val="26"/>
                <w:szCs w:val="26"/>
                <w:lang w:val="ru-RU" w:eastAsia="en-US"/>
              </w:rPr>
              <w:t xml:space="preserve"> средний </w:t>
            </w:r>
          </w:p>
          <w:p w:rsidR="00FE3C5C" w:rsidRPr="0020128E" w:rsidRDefault="00FE3C5C" w:rsidP="00ED1283">
            <w:pPr>
              <w:overflowPunct w:val="0"/>
              <w:autoSpaceDE w:val="0"/>
              <w:autoSpaceDN w:val="0"/>
              <w:adjustRightInd w:val="0"/>
              <w:spacing w:line="19" w:lineRule="atLeast"/>
              <w:jc w:val="center"/>
              <w:textAlignment w:val="baseline"/>
              <w:rPr>
                <w:rFonts w:ascii="PT Astra Serif" w:eastAsiaTheme="minorHAnsi" w:hAnsi="PT Astra Serif" w:cstheme="minorBidi"/>
                <w:b/>
                <w:color w:val="FFFFFF" w:themeColor="background1"/>
                <w:sz w:val="26"/>
                <w:szCs w:val="26"/>
                <w:lang w:val="ru-RU" w:eastAsia="en-US"/>
              </w:rPr>
            </w:pPr>
            <w:r w:rsidRPr="00572831">
              <w:rPr>
                <w:rFonts w:ascii="PT Astra Serif" w:eastAsiaTheme="minorHAnsi" w:hAnsi="PT Astra Serif" w:cstheme="minorBidi"/>
                <w:b/>
                <w:sz w:val="26"/>
                <w:szCs w:val="26"/>
                <w:lang w:val="ru-RU" w:eastAsia="en-US"/>
              </w:rPr>
              <w:t>по области показатель</w:t>
            </w:r>
            <w:r w:rsidRPr="0020128E">
              <w:rPr>
                <w:rFonts w:ascii="PT Astra Serif" w:eastAsiaTheme="minorHAnsi" w:hAnsi="PT Astra Serif" w:cstheme="minorBidi"/>
                <w:b/>
                <w:color w:val="FFFFFF" w:themeColor="background1"/>
                <w:sz w:val="26"/>
                <w:szCs w:val="26"/>
                <w:shd w:val="clear" w:color="auto" w:fill="FF0000"/>
                <w:lang w:val="ru-RU" w:eastAsia="en-US"/>
              </w:rPr>
              <w:t>25,7</w:t>
            </w:r>
          </w:p>
          <w:p w:rsidR="00FE3C5C" w:rsidRPr="00572831" w:rsidRDefault="00FE3C5C" w:rsidP="00ED1283">
            <w:pPr>
              <w:overflowPunct w:val="0"/>
              <w:autoSpaceDE w:val="0"/>
              <w:autoSpaceDN w:val="0"/>
              <w:adjustRightInd w:val="0"/>
              <w:spacing w:line="19" w:lineRule="atLeast"/>
              <w:jc w:val="center"/>
              <w:textAlignment w:val="baseline"/>
              <w:rPr>
                <w:rFonts w:ascii="PT Astra Serif" w:hAnsi="PT Astra Serif"/>
                <w:b/>
                <w:sz w:val="26"/>
                <w:szCs w:val="26"/>
                <w:lang w:val="ru-RU"/>
              </w:rPr>
            </w:pPr>
          </w:p>
        </w:tc>
        <w:tc>
          <w:tcPr>
            <w:tcW w:w="1726" w:type="dxa"/>
            <w:noWrap/>
          </w:tcPr>
          <w:p w:rsidR="00FE3C5C" w:rsidRPr="00572831" w:rsidRDefault="00FE3C5C" w:rsidP="00ED1283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line="19" w:lineRule="atLeast"/>
              <w:ind w:firstLine="709"/>
              <w:jc w:val="both"/>
              <w:textAlignment w:val="baseline"/>
              <w:rPr>
                <w:rFonts w:ascii="PT Astra Serif" w:eastAsiaTheme="minorHAnsi" w:hAnsi="PT Astra Serif" w:cstheme="minorBidi"/>
                <w:b/>
                <w:sz w:val="26"/>
                <w:szCs w:val="26"/>
                <w:lang w:val="ru-RU" w:eastAsia="en-US"/>
              </w:rPr>
            </w:pPr>
          </w:p>
          <w:p w:rsidR="00FE3C5C" w:rsidRPr="00572831" w:rsidRDefault="00FE3C5C" w:rsidP="00ED128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19" w:lineRule="atLeast"/>
              <w:jc w:val="center"/>
              <w:textAlignment w:val="baseline"/>
              <w:rPr>
                <w:rFonts w:ascii="PT Astra Serif" w:eastAsiaTheme="minorHAnsi" w:hAnsi="PT Astra Serif" w:cstheme="minorBidi"/>
                <w:b/>
                <w:sz w:val="26"/>
                <w:szCs w:val="26"/>
                <w:lang w:val="ru-RU" w:eastAsia="en-US"/>
              </w:rPr>
            </w:pPr>
            <w:r w:rsidRPr="00572831">
              <w:rPr>
                <w:rFonts w:ascii="PT Astra Serif" w:eastAsiaTheme="minorHAnsi" w:hAnsi="PT Astra Serif" w:cstheme="minorBidi"/>
                <w:b/>
                <w:sz w:val="26"/>
                <w:szCs w:val="26"/>
                <w:lang w:val="ru-RU" w:eastAsia="en-US"/>
              </w:rPr>
              <w:t xml:space="preserve">Показатель </w:t>
            </w:r>
          </w:p>
          <w:p w:rsidR="00FE3C5C" w:rsidRPr="00572831" w:rsidRDefault="00FE3C5C" w:rsidP="00ED128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19" w:lineRule="atLeast"/>
              <w:jc w:val="center"/>
              <w:textAlignment w:val="baseline"/>
              <w:rPr>
                <w:rFonts w:ascii="PT Astra Serif" w:eastAsiaTheme="minorHAnsi" w:hAnsi="PT Astra Serif" w:cstheme="minorBidi"/>
                <w:b/>
                <w:sz w:val="26"/>
                <w:szCs w:val="26"/>
                <w:lang w:val="ru-RU" w:eastAsia="en-US"/>
              </w:rPr>
            </w:pPr>
            <w:r w:rsidRPr="00572831">
              <w:rPr>
                <w:rFonts w:ascii="PT Astra Serif" w:eastAsiaTheme="minorHAnsi" w:hAnsi="PT Astra Serif" w:cstheme="minorBidi"/>
                <w:b/>
                <w:sz w:val="26"/>
                <w:szCs w:val="26"/>
                <w:lang w:val="ru-RU" w:eastAsia="en-US"/>
              </w:rPr>
              <w:t>активности</w:t>
            </w:r>
          </w:p>
          <w:p w:rsidR="00FE3C5C" w:rsidRPr="00572831" w:rsidRDefault="00FE3C5C" w:rsidP="00ED128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19" w:lineRule="atLeast"/>
              <w:jc w:val="center"/>
              <w:textAlignment w:val="baseline"/>
              <w:rPr>
                <w:rFonts w:ascii="PT Astra Serif" w:hAnsi="PT Astra Serif"/>
                <w:b/>
                <w:sz w:val="26"/>
                <w:szCs w:val="26"/>
                <w:lang w:val="ru-RU"/>
              </w:rPr>
            </w:pPr>
            <w:r w:rsidRPr="00572831">
              <w:rPr>
                <w:rFonts w:ascii="PT Astra Serif" w:eastAsiaTheme="minorHAnsi" w:hAnsi="PT Astra Serif" w:cstheme="minorBidi"/>
                <w:b/>
                <w:sz w:val="26"/>
                <w:szCs w:val="26"/>
                <w:lang w:val="ru-RU" w:eastAsia="en-US"/>
              </w:rPr>
              <w:t>обращений</w:t>
            </w:r>
          </w:p>
        </w:tc>
        <w:tc>
          <w:tcPr>
            <w:tcW w:w="2161" w:type="dxa"/>
          </w:tcPr>
          <w:p w:rsidR="00FE3C5C" w:rsidRPr="00572831" w:rsidRDefault="00FE3C5C" w:rsidP="00ED128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19" w:lineRule="atLeast"/>
              <w:ind w:hanging="7"/>
              <w:jc w:val="center"/>
              <w:textAlignment w:val="baseline"/>
              <w:rPr>
                <w:rFonts w:ascii="PT Astra Serif" w:hAnsi="PT Astra Serif"/>
                <w:b/>
                <w:sz w:val="26"/>
                <w:szCs w:val="26"/>
                <w:lang w:val="ru-RU"/>
              </w:rPr>
            </w:pPr>
          </w:p>
          <w:p w:rsidR="00FE3C5C" w:rsidRPr="00572831" w:rsidRDefault="00FE3C5C" w:rsidP="00ED128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19" w:lineRule="atLeast"/>
              <w:ind w:hanging="7"/>
              <w:jc w:val="center"/>
              <w:textAlignment w:val="baseline"/>
              <w:rPr>
                <w:rFonts w:ascii="PT Astra Serif" w:hAnsi="PT Astra Serif"/>
                <w:b/>
                <w:sz w:val="26"/>
                <w:szCs w:val="26"/>
                <w:lang w:val="ru-RU"/>
              </w:rPr>
            </w:pPr>
            <w:r w:rsidRPr="00572831">
              <w:rPr>
                <w:rFonts w:ascii="PT Astra Serif" w:hAnsi="PT Astra Serif"/>
                <w:b/>
                <w:sz w:val="26"/>
                <w:szCs w:val="26"/>
                <w:lang w:val="ru-RU"/>
              </w:rPr>
              <w:t>Коэффициент</w:t>
            </w:r>
          </w:p>
          <w:p w:rsidR="00FE3C5C" w:rsidRPr="00572831" w:rsidRDefault="00FE3C5C" w:rsidP="00ED128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19" w:lineRule="atLeast"/>
              <w:ind w:hanging="7"/>
              <w:jc w:val="center"/>
              <w:textAlignment w:val="baseline"/>
              <w:rPr>
                <w:rFonts w:ascii="PT Astra Serif" w:hAnsi="PT Astra Serif"/>
                <w:b/>
                <w:sz w:val="26"/>
                <w:szCs w:val="26"/>
                <w:lang w:val="ru-RU"/>
              </w:rPr>
            </w:pPr>
            <w:r w:rsidRPr="00572831">
              <w:rPr>
                <w:rFonts w:ascii="PT Astra Serif" w:hAnsi="PT Astra Serif"/>
                <w:b/>
                <w:sz w:val="26"/>
                <w:szCs w:val="26"/>
                <w:lang w:val="ru-RU"/>
              </w:rPr>
              <w:t>превышения</w:t>
            </w:r>
          </w:p>
        </w:tc>
      </w:tr>
      <w:tr w:rsidR="00FE3C5C" w:rsidRPr="00572831" w:rsidTr="00C451C7">
        <w:trPr>
          <w:trHeight w:val="257"/>
        </w:trPr>
        <w:tc>
          <w:tcPr>
            <w:tcW w:w="709" w:type="dxa"/>
          </w:tcPr>
          <w:p w:rsidR="00FE3C5C" w:rsidRPr="00572831" w:rsidRDefault="00FE3C5C" w:rsidP="00ED1283">
            <w:pPr>
              <w:numPr>
                <w:ilvl w:val="0"/>
                <w:numId w:val="1"/>
              </w:num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line="19" w:lineRule="atLeast"/>
              <w:ind w:left="0" w:firstLine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  <w:tc>
          <w:tcPr>
            <w:tcW w:w="4901" w:type="dxa"/>
            <w:shd w:val="clear" w:color="auto" w:fill="FF5050"/>
            <w:noWrap/>
            <w:hideMark/>
          </w:tcPr>
          <w:p w:rsidR="00FE3C5C" w:rsidRPr="00572831" w:rsidRDefault="00FE3C5C" w:rsidP="00ED1283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line="19" w:lineRule="atLeast"/>
              <w:ind w:firstLine="28"/>
              <w:jc w:val="center"/>
              <w:textAlignment w:val="baseline"/>
              <w:rPr>
                <w:rFonts w:ascii="PT Astra Serif" w:hAnsi="PT Astra Serif"/>
                <w:b/>
                <w:color w:val="FFFFFF" w:themeColor="background1"/>
                <w:sz w:val="26"/>
                <w:szCs w:val="26"/>
                <w:lang w:val="ru-RU"/>
              </w:rPr>
            </w:pPr>
            <w:r w:rsidRPr="00572831">
              <w:rPr>
                <w:rFonts w:ascii="PT Astra Serif" w:eastAsiaTheme="minorHAnsi" w:hAnsi="PT Astra Serif" w:cstheme="minorBidi"/>
                <w:b/>
                <w:color w:val="FFFFFF" w:themeColor="background1"/>
                <w:sz w:val="26"/>
                <w:szCs w:val="26"/>
                <w:lang w:val="ru-RU" w:eastAsia="en-US"/>
              </w:rPr>
              <w:t>«</w:t>
            </w:r>
            <w:r w:rsidRPr="0020128E">
              <w:rPr>
                <w:rFonts w:ascii="PT Astra Serif" w:hAnsi="PT Astra Serif"/>
                <w:b/>
                <w:color w:val="FFFFFF" w:themeColor="background1"/>
                <w:sz w:val="26"/>
                <w:szCs w:val="26"/>
              </w:rPr>
              <w:t>Сенгилеевский район</w:t>
            </w:r>
            <w:r w:rsidRPr="00572831">
              <w:rPr>
                <w:rFonts w:ascii="PT Astra Serif" w:eastAsiaTheme="minorHAnsi" w:hAnsi="PT Astra Serif" w:cstheme="minorBidi"/>
                <w:b/>
                <w:color w:val="FFFFFF" w:themeColor="background1"/>
                <w:sz w:val="26"/>
                <w:szCs w:val="26"/>
                <w:lang w:val="ru-RU" w:eastAsia="en-US"/>
              </w:rPr>
              <w:t>»</w:t>
            </w:r>
          </w:p>
        </w:tc>
        <w:tc>
          <w:tcPr>
            <w:tcW w:w="1726" w:type="dxa"/>
            <w:shd w:val="clear" w:color="auto" w:fill="FF5050"/>
            <w:noWrap/>
            <w:hideMark/>
          </w:tcPr>
          <w:p w:rsidR="00FE3C5C" w:rsidRPr="00572831" w:rsidRDefault="00FE3C5C" w:rsidP="00ED128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19" w:lineRule="atLeast"/>
              <w:ind w:firstLine="34"/>
              <w:jc w:val="center"/>
              <w:textAlignment w:val="baseline"/>
              <w:rPr>
                <w:rFonts w:ascii="PT Astra Serif" w:hAnsi="PT Astra Serif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PT Astra Serif" w:hAnsi="PT Astra Serif"/>
                <w:b/>
                <w:color w:val="FFFFFF" w:themeColor="background1"/>
                <w:sz w:val="26"/>
                <w:szCs w:val="26"/>
                <w:lang w:val="ru-RU"/>
              </w:rPr>
              <w:t>35,6</w:t>
            </w:r>
          </w:p>
        </w:tc>
        <w:tc>
          <w:tcPr>
            <w:tcW w:w="2161" w:type="dxa"/>
            <w:shd w:val="clear" w:color="auto" w:fill="FF5050"/>
          </w:tcPr>
          <w:p w:rsidR="00FE3C5C" w:rsidRPr="00572831" w:rsidRDefault="00FE3C5C" w:rsidP="00ED1283">
            <w:pPr>
              <w:tabs>
                <w:tab w:val="left" w:pos="34"/>
              </w:tabs>
              <w:overflowPunct w:val="0"/>
              <w:autoSpaceDE w:val="0"/>
              <w:autoSpaceDN w:val="0"/>
              <w:adjustRightInd w:val="0"/>
              <w:spacing w:line="19" w:lineRule="atLeast"/>
              <w:ind w:firstLine="34"/>
              <w:jc w:val="center"/>
              <w:textAlignment w:val="baseline"/>
              <w:rPr>
                <w:rFonts w:ascii="PT Astra Serif" w:hAnsi="PT Astra Serif"/>
                <w:b/>
                <w:color w:val="FFFFFF" w:themeColor="background1"/>
                <w:sz w:val="26"/>
                <w:szCs w:val="26"/>
                <w:lang w:val="ru-RU"/>
              </w:rPr>
            </w:pPr>
            <w:r>
              <w:rPr>
                <w:rFonts w:ascii="PT Astra Serif" w:hAnsi="PT Astra Serif"/>
                <w:b/>
                <w:color w:val="FFFFFF" w:themeColor="background1"/>
                <w:sz w:val="26"/>
                <w:szCs w:val="26"/>
                <w:lang w:val="ru-RU"/>
              </w:rPr>
              <w:t xml:space="preserve">в </w:t>
            </w:r>
            <w:r w:rsidRPr="00572831">
              <w:rPr>
                <w:rFonts w:ascii="PT Astra Serif" w:hAnsi="PT Astra Serif"/>
                <w:b/>
                <w:color w:val="FFFFFF" w:themeColor="background1"/>
                <w:sz w:val="26"/>
                <w:szCs w:val="26"/>
                <w:lang w:val="ru-RU"/>
              </w:rPr>
              <w:t>1,</w:t>
            </w:r>
            <w:r>
              <w:rPr>
                <w:rFonts w:ascii="PT Astra Serif" w:hAnsi="PT Astra Serif"/>
                <w:b/>
                <w:color w:val="FFFFFF" w:themeColor="background1"/>
                <w:sz w:val="26"/>
                <w:szCs w:val="26"/>
                <w:lang w:val="ru-RU"/>
              </w:rPr>
              <w:t xml:space="preserve">4 </w:t>
            </w:r>
            <w:r w:rsidRPr="00572831">
              <w:rPr>
                <w:rFonts w:ascii="PT Astra Serif" w:hAnsi="PT Astra Serif"/>
                <w:b/>
                <w:color w:val="FFFFFF" w:themeColor="background1"/>
                <w:sz w:val="26"/>
                <w:szCs w:val="26"/>
                <w:lang w:val="ru-RU"/>
              </w:rPr>
              <w:t>раза</w:t>
            </w:r>
          </w:p>
        </w:tc>
      </w:tr>
      <w:tr w:rsidR="00FE3C5C" w:rsidRPr="00572831" w:rsidTr="00C451C7">
        <w:trPr>
          <w:trHeight w:val="263"/>
        </w:trPr>
        <w:tc>
          <w:tcPr>
            <w:tcW w:w="709" w:type="dxa"/>
          </w:tcPr>
          <w:p w:rsidR="00FE3C5C" w:rsidRPr="00572831" w:rsidRDefault="00FE3C5C" w:rsidP="00ED1283">
            <w:pPr>
              <w:numPr>
                <w:ilvl w:val="0"/>
                <w:numId w:val="1"/>
              </w:num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line="19" w:lineRule="atLeast"/>
              <w:ind w:left="0" w:firstLine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  <w:tc>
          <w:tcPr>
            <w:tcW w:w="4901" w:type="dxa"/>
            <w:shd w:val="clear" w:color="auto" w:fill="FF5050"/>
            <w:noWrap/>
            <w:hideMark/>
          </w:tcPr>
          <w:p w:rsidR="00FE3C5C" w:rsidRPr="00572831" w:rsidRDefault="00FE3C5C" w:rsidP="00ED1283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line="19" w:lineRule="atLeast"/>
              <w:ind w:firstLine="28"/>
              <w:jc w:val="center"/>
              <w:textAlignment w:val="baseline"/>
              <w:rPr>
                <w:rFonts w:ascii="PT Astra Serif" w:hAnsi="PT Astra Serif"/>
                <w:b/>
                <w:color w:val="FFFFFF" w:themeColor="background1"/>
                <w:sz w:val="26"/>
                <w:szCs w:val="26"/>
                <w:lang w:val="ru-RU"/>
              </w:rPr>
            </w:pPr>
            <w:r w:rsidRPr="00572831">
              <w:rPr>
                <w:rFonts w:ascii="PT Astra Serif" w:eastAsiaTheme="minorHAnsi" w:hAnsi="PT Astra Serif" w:cstheme="minorBidi"/>
                <w:b/>
                <w:color w:val="FFFFFF" w:themeColor="background1"/>
                <w:sz w:val="26"/>
                <w:szCs w:val="26"/>
                <w:lang w:val="ru-RU" w:eastAsia="en-US"/>
              </w:rPr>
              <w:t>«</w:t>
            </w:r>
            <w:r>
              <w:rPr>
                <w:rFonts w:ascii="PT Astra Serif" w:eastAsiaTheme="minorHAnsi" w:hAnsi="PT Astra Serif" w:cstheme="minorBidi"/>
                <w:b/>
                <w:color w:val="FFFFFF" w:themeColor="background1"/>
                <w:sz w:val="26"/>
                <w:szCs w:val="26"/>
                <w:lang w:val="ru-RU" w:eastAsia="en-US"/>
              </w:rPr>
              <w:t>Сурский</w:t>
            </w:r>
            <w:r w:rsidRPr="00572831">
              <w:rPr>
                <w:rFonts w:ascii="PT Astra Serif" w:hAnsi="PT Astra Serif"/>
                <w:b/>
                <w:color w:val="FFFFFF" w:themeColor="background1"/>
                <w:sz w:val="26"/>
                <w:szCs w:val="26"/>
              </w:rPr>
              <w:t xml:space="preserve"> район</w:t>
            </w:r>
            <w:r w:rsidRPr="00572831">
              <w:rPr>
                <w:rFonts w:ascii="PT Astra Serif" w:eastAsiaTheme="minorHAnsi" w:hAnsi="PT Astra Serif" w:cstheme="minorBidi"/>
                <w:b/>
                <w:color w:val="FFFFFF" w:themeColor="background1"/>
                <w:sz w:val="26"/>
                <w:szCs w:val="26"/>
                <w:lang w:val="ru-RU" w:eastAsia="en-US"/>
              </w:rPr>
              <w:t>»</w:t>
            </w:r>
          </w:p>
        </w:tc>
        <w:tc>
          <w:tcPr>
            <w:tcW w:w="1726" w:type="dxa"/>
            <w:shd w:val="clear" w:color="auto" w:fill="FF5050"/>
            <w:noWrap/>
            <w:hideMark/>
          </w:tcPr>
          <w:p w:rsidR="00FE3C5C" w:rsidRPr="00572831" w:rsidRDefault="00FE3C5C" w:rsidP="00ED128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19" w:lineRule="atLeast"/>
              <w:ind w:firstLine="34"/>
              <w:jc w:val="center"/>
              <w:textAlignment w:val="baseline"/>
              <w:rPr>
                <w:rFonts w:ascii="PT Astra Serif" w:hAnsi="PT Astra Serif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PT Astra Serif" w:hAnsi="PT Astra Serif"/>
                <w:b/>
                <w:color w:val="FFFFFF" w:themeColor="background1"/>
                <w:sz w:val="26"/>
                <w:szCs w:val="26"/>
                <w:lang w:val="ru-RU"/>
              </w:rPr>
              <w:t>28,3</w:t>
            </w:r>
          </w:p>
        </w:tc>
        <w:tc>
          <w:tcPr>
            <w:tcW w:w="2161" w:type="dxa"/>
            <w:shd w:val="clear" w:color="auto" w:fill="FF5050"/>
          </w:tcPr>
          <w:p w:rsidR="00FE3C5C" w:rsidRPr="00572831" w:rsidRDefault="00FE3C5C" w:rsidP="00ED128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19" w:lineRule="atLeast"/>
              <w:jc w:val="center"/>
              <w:textAlignment w:val="baseline"/>
              <w:rPr>
                <w:rFonts w:ascii="PT Astra Serif" w:hAnsi="PT Astra Serif"/>
                <w:b/>
                <w:color w:val="FFFFFF" w:themeColor="background1"/>
                <w:sz w:val="26"/>
                <w:szCs w:val="26"/>
                <w:lang w:val="ru-RU"/>
              </w:rPr>
            </w:pPr>
            <w:r>
              <w:rPr>
                <w:rFonts w:ascii="PT Astra Serif" w:hAnsi="PT Astra Serif"/>
                <w:b/>
                <w:color w:val="FFFFFF" w:themeColor="background1"/>
                <w:sz w:val="26"/>
                <w:szCs w:val="26"/>
                <w:lang w:val="ru-RU"/>
              </w:rPr>
              <w:t>на 9%</w:t>
            </w:r>
          </w:p>
        </w:tc>
      </w:tr>
      <w:tr w:rsidR="00FE3C5C" w:rsidRPr="00572831" w:rsidTr="00C451C7">
        <w:trPr>
          <w:trHeight w:val="239"/>
        </w:trPr>
        <w:tc>
          <w:tcPr>
            <w:tcW w:w="709" w:type="dxa"/>
          </w:tcPr>
          <w:p w:rsidR="00FE3C5C" w:rsidRPr="00572831" w:rsidRDefault="00FE3C5C" w:rsidP="00ED1283">
            <w:pPr>
              <w:numPr>
                <w:ilvl w:val="0"/>
                <w:numId w:val="1"/>
              </w:num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line="19" w:lineRule="atLeast"/>
              <w:ind w:left="0" w:firstLine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  <w:tc>
          <w:tcPr>
            <w:tcW w:w="4901" w:type="dxa"/>
            <w:shd w:val="clear" w:color="auto" w:fill="FF5050"/>
            <w:noWrap/>
            <w:hideMark/>
          </w:tcPr>
          <w:p w:rsidR="00FE3C5C" w:rsidRPr="00572831" w:rsidRDefault="00FE3C5C" w:rsidP="00ED1283">
            <w:pPr>
              <w:tabs>
                <w:tab w:val="left" w:pos="900"/>
                <w:tab w:val="left" w:pos="4170"/>
              </w:tabs>
              <w:overflowPunct w:val="0"/>
              <w:autoSpaceDE w:val="0"/>
              <w:autoSpaceDN w:val="0"/>
              <w:adjustRightInd w:val="0"/>
              <w:spacing w:line="19" w:lineRule="atLeast"/>
              <w:ind w:firstLine="28"/>
              <w:jc w:val="center"/>
              <w:textAlignment w:val="baseline"/>
              <w:rPr>
                <w:rFonts w:ascii="PT Astra Serif" w:hAnsi="PT Astra Serif"/>
                <w:b/>
                <w:color w:val="FFFFFF" w:themeColor="background1"/>
                <w:sz w:val="26"/>
                <w:szCs w:val="26"/>
                <w:lang w:val="ru-RU"/>
              </w:rPr>
            </w:pPr>
            <w:r w:rsidRPr="00572831">
              <w:rPr>
                <w:rFonts w:ascii="PT Astra Serif" w:eastAsiaTheme="minorHAnsi" w:hAnsi="PT Astra Serif" w:cstheme="minorBidi"/>
                <w:b/>
                <w:color w:val="FFFFFF" w:themeColor="background1"/>
                <w:sz w:val="26"/>
                <w:szCs w:val="26"/>
                <w:lang w:val="ru-RU" w:eastAsia="en-US"/>
              </w:rPr>
              <w:t>«</w:t>
            </w:r>
            <w:r>
              <w:rPr>
                <w:rFonts w:ascii="PT Astra Serif" w:eastAsiaTheme="minorHAnsi" w:hAnsi="PT Astra Serif" w:cstheme="minorBidi"/>
                <w:b/>
                <w:color w:val="FFFFFF" w:themeColor="background1"/>
                <w:sz w:val="26"/>
                <w:szCs w:val="26"/>
                <w:lang w:val="ru-RU" w:eastAsia="en-US"/>
              </w:rPr>
              <w:t>Майнский</w:t>
            </w:r>
            <w:r w:rsidRPr="00572831">
              <w:rPr>
                <w:rFonts w:ascii="PT Astra Serif" w:hAnsi="PT Astra Serif"/>
                <w:b/>
                <w:color w:val="FFFFFF" w:themeColor="background1"/>
                <w:sz w:val="26"/>
                <w:szCs w:val="26"/>
              </w:rPr>
              <w:t xml:space="preserve"> район</w:t>
            </w:r>
            <w:r w:rsidRPr="00572831">
              <w:rPr>
                <w:rFonts w:ascii="PT Astra Serif" w:eastAsiaTheme="minorHAnsi" w:hAnsi="PT Astra Serif" w:cstheme="minorBidi"/>
                <w:b/>
                <w:color w:val="FFFFFF" w:themeColor="background1"/>
                <w:sz w:val="26"/>
                <w:szCs w:val="26"/>
                <w:lang w:val="ru-RU" w:eastAsia="en-US"/>
              </w:rPr>
              <w:t>»</w:t>
            </w:r>
          </w:p>
        </w:tc>
        <w:tc>
          <w:tcPr>
            <w:tcW w:w="1726" w:type="dxa"/>
            <w:shd w:val="clear" w:color="auto" w:fill="FF5050"/>
            <w:noWrap/>
            <w:hideMark/>
          </w:tcPr>
          <w:p w:rsidR="00FE3C5C" w:rsidRPr="00572831" w:rsidRDefault="00FE3C5C" w:rsidP="00ED128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19" w:lineRule="atLeast"/>
              <w:ind w:firstLine="34"/>
              <w:jc w:val="center"/>
              <w:textAlignment w:val="baseline"/>
              <w:rPr>
                <w:rFonts w:ascii="PT Astra Serif" w:hAnsi="PT Astra Serif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PT Astra Serif" w:hAnsi="PT Astra Serif"/>
                <w:b/>
                <w:color w:val="FFFFFF" w:themeColor="background1"/>
                <w:sz w:val="26"/>
                <w:szCs w:val="26"/>
                <w:lang w:val="ru-RU"/>
              </w:rPr>
              <w:t>27,4</w:t>
            </w:r>
          </w:p>
        </w:tc>
        <w:tc>
          <w:tcPr>
            <w:tcW w:w="2161" w:type="dxa"/>
            <w:shd w:val="clear" w:color="auto" w:fill="FF5050"/>
          </w:tcPr>
          <w:p w:rsidR="00FE3C5C" w:rsidRPr="00572831" w:rsidRDefault="00FE3C5C" w:rsidP="00ED1283">
            <w:pPr>
              <w:tabs>
                <w:tab w:val="left" w:pos="34"/>
              </w:tabs>
              <w:overflowPunct w:val="0"/>
              <w:autoSpaceDE w:val="0"/>
              <w:autoSpaceDN w:val="0"/>
              <w:adjustRightInd w:val="0"/>
              <w:spacing w:line="19" w:lineRule="atLeast"/>
              <w:jc w:val="center"/>
              <w:textAlignment w:val="baseline"/>
              <w:rPr>
                <w:rFonts w:ascii="PT Astra Serif" w:hAnsi="PT Astra Serif"/>
                <w:b/>
                <w:color w:val="FFFFFF" w:themeColor="background1"/>
                <w:sz w:val="26"/>
                <w:szCs w:val="26"/>
                <w:lang w:val="ru-RU"/>
              </w:rPr>
            </w:pPr>
            <w:r>
              <w:rPr>
                <w:rFonts w:ascii="PT Astra Serif" w:hAnsi="PT Astra Serif"/>
                <w:b/>
                <w:color w:val="FFFFFF" w:themeColor="background1"/>
                <w:sz w:val="26"/>
                <w:szCs w:val="26"/>
                <w:lang w:val="ru-RU"/>
              </w:rPr>
              <w:t>на 6%</w:t>
            </w:r>
          </w:p>
        </w:tc>
      </w:tr>
      <w:tr w:rsidR="00FE3C5C" w:rsidRPr="00572831" w:rsidTr="00C451C7">
        <w:trPr>
          <w:trHeight w:val="205"/>
        </w:trPr>
        <w:tc>
          <w:tcPr>
            <w:tcW w:w="709" w:type="dxa"/>
          </w:tcPr>
          <w:p w:rsidR="00FE3C5C" w:rsidRPr="00572831" w:rsidRDefault="00FE3C5C" w:rsidP="00ED1283">
            <w:pPr>
              <w:numPr>
                <w:ilvl w:val="0"/>
                <w:numId w:val="1"/>
              </w:num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line="19" w:lineRule="atLeast"/>
              <w:ind w:left="0" w:firstLine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  <w:tc>
          <w:tcPr>
            <w:tcW w:w="4901" w:type="dxa"/>
            <w:shd w:val="clear" w:color="auto" w:fill="FF5050"/>
            <w:noWrap/>
            <w:hideMark/>
          </w:tcPr>
          <w:p w:rsidR="00FE3C5C" w:rsidRPr="00572831" w:rsidRDefault="00FE3C5C" w:rsidP="00ED1283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line="19" w:lineRule="atLeast"/>
              <w:ind w:firstLine="28"/>
              <w:jc w:val="center"/>
              <w:textAlignment w:val="baseline"/>
              <w:rPr>
                <w:rFonts w:ascii="PT Astra Serif" w:hAnsi="PT Astra Serif"/>
                <w:b/>
                <w:color w:val="FFFFFF" w:themeColor="background1"/>
                <w:sz w:val="26"/>
                <w:szCs w:val="26"/>
                <w:lang w:val="ru-RU"/>
              </w:rPr>
            </w:pPr>
            <w:r w:rsidRPr="00572831">
              <w:rPr>
                <w:rFonts w:ascii="PT Astra Serif" w:eastAsiaTheme="minorHAnsi" w:hAnsi="PT Astra Serif" w:cstheme="minorBidi"/>
                <w:b/>
                <w:color w:val="FFFFFF" w:themeColor="background1"/>
                <w:sz w:val="26"/>
                <w:szCs w:val="26"/>
                <w:lang w:val="ru-RU" w:eastAsia="en-US"/>
              </w:rPr>
              <w:t>«</w:t>
            </w:r>
            <w:r>
              <w:rPr>
                <w:rFonts w:ascii="PT Astra Serif" w:eastAsiaTheme="minorHAnsi" w:hAnsi="PT Astra Serif" w:cstheme="minorBidi"/>
                <w:b/>
                <w:color w:val="FFFFFF" w:themeColor="background1"/>
                <w:sz w:val="26"/>
                <w:szCs w:val="26"/>
                <w:lang w:val="ru-RU" w:eastAsia="en-US"/>
              </w:rPr>
              <w:t>Карсунский</w:t>
            </w:r>
            <w:r w:rsidRPr="00572831">
              <w:rPr>
                <w:rFonts w:ascii="PT Astra Serif" w:hAnsi="PT Astra Serif"/>
                <w:b/>
                <w:color w:val="FFFFFF" w:themeColor="background1"/>
                <w:sz w:val="26"/>
                <w:szCs w:val="26"/>
              </w:rPr>
              <w:t xml:space="preserve"> район</w:t>
            </w:r>
            <w:r w:rsidRPr="00572831">
              <w:rPr>
                <w:rFonts w:ascii="PT Astra Serif" w:eastAsiaTheme="minorHAnsi" w:hAnsi="PT Astra Serif" w:cstheme="minorBidi"/>
                <w:b/>
                <w:color w:val="FFFFFF" w:themeColor="background1"/>
                <w:sz w:val="26"/>
                <w:szCs w:val="26"/>
                <w:lang w:val="ru-RU" w:eastAsia="en-US"/>
              </w:rPr>
              <w:t>»</w:t>
            </w:r>
          </w:p>
        </w:tc>
        <w:tc>
          <w:tcPr>
            <w:tcW w:w="1726" w:type="dxa"/>
            <w:shd w:val="clear" w:color="auto" w:fill="FF5050"/>
            <w:noWrap/>
            <w:hideMark/>
          </w:tcPr>
          <w:p w:rsidR="00FE3C5C" w:rsidRPr="00572831" w:rsidRDefault="00FE3C5C" w:rsidP="00ED128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19" w:lineRule="atLeast"/>
              <w:ind w:firstLine="34"/>
              <w:jc w:val="center"/>
              <w:textAlignment w:val="baseline"/>
              <w:rPr>
                <w:rFonts w:ascii="PT Astra Serif" w:hAnsi="PT Astra Serif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PT Astra Serif" w:hAnsi="PT Astra Serif"/>
                <w:b/>
                <w:color w:val="FFFFFF" w:themeColor="background1"/>
                <w:sz w:val="26"/>
                <w:szCs w:val="26"/>
                <w:lang w:val="ru-RU"/>
              </w:rPr>
              <w:t>26,8</w:t>
            </w:r>
          </w:p>
        </w:tc>
        <w:tc>
          <w:tcPr>
            <w:tcW w:w="2161" w:type="dxa"/>
            <w:shd w:val="clear" w:color="auto" w:fill="FF5050"/>
          </w:tcPr>
          <w:p w:rsidR="00FE3C5C" w:rsidRPr="00572831" w:rsidRDefault="00FE3C5C" w:rsidP="00ED1283">
            <w:pPr>
              <w:tabs>
                <w:tab w:val="left" w:pos="34"/>
              </w:tabs>
              <w:overflowPunct w:val="0"/>
              <w:autoSpaceDE w:val="0"/>
              <w:autoSpaceDN w:val="0"/>
              <w:adjustRightInd w:val="0"/>
              <w:spacing w:line="19" w:lineRule="atLeast"/>
              <w:ind w:firstLine="34"/>
              <w:jc w:val="center"/>
              <w:textAlignment w:val="baseline"/>
              <w:rPr>
                <w:rFonts w:ascii="PT Astra Serif" w:hAnsi="PT Astra Serif"/>
                <w:b/>
                <w:color w:val="FFFFFF" w:themeColor="background1"/>
                <w:sz w:val="26"/>
                <w:szCs w:val="26"/>
                <w:lang w:val="ru-RU"/>
              </w:rPr>
            </w:pPr>
            <w:r>
              <w:rPr>
                <w:rFonts w:ascii="PT Astra Serif" w:hAnsi="PT Astra Serif"/>
                <w:b/>
                <w:color w:val="FFFFFF" w:themeColor="background1"/>
                <w:sz w:val="26"/>
                <w:szCs w:val="26"/>
                <w:lang w:val="ru-RU"/>
              </w:rPr>
              <w:t>на 4%</w:t>
            </w:r>
          </w:p>
        </w:tc>
      </w:tr>
    </w:tbl>
    <w:p w:rsidR="00FE3C5C" w:rsidRDefault="00FE3C5C" w:rsidP="00ED1283">
      <w:pPr>
        <w:tabs>
          <w:tab w:val="left" w:pos="0"/>
        </w:tabs>
        <w:overflowPunct w:val="0"/>
        <w:autoSpaceDE w:val="0"/>
        <w:autoSpaceDN w:val="0"/>
        <w:adjustRightInd w:val="0"/>
        <w:spacing w:after="0" w:line="19" w:lineRule="atLeast"/>
        <w:jc w:val="center"/>
        <w:textAlignment w:val="baseline"/>
        <w:rPr>
          <w:rFonts w:ascii="PT Astra Serif" w:eastAsia="Times New Roman" w:hAnsi="PT Astra Serif" w:cs="Times New Roman"/>
          <w:i/>
          <w:color w:val="0070C0"/>
          <w:sz w:val="28"/>
          <w:szCs w:val="28"/>
          <w:lang w:val="ru-RU" w:eastAsia="ru-RU"/>
        </w:rPr>
      </w:pPr>
    </w:p>
    <w:p w:rsidR="00FE3C5C" w:rsidRPr="003B67BB" w:rsidRDefault="00FE3C5C" w:rsidP="00ED1283">
      <w:pPr>
        <w:tabs>
          <w:tab w:val="left" w:pos="0"/>
        </w:tabs>
        <w:overflowPunct w:val="0"/>
        <w:autoSpaceDE w:val="0"/>
        <w:autoSpaceDN w:val="0"/>
        <w:adjustRightInd w:val="0"/>
        <w:spacing w:after="0" w:line="19" w:lineRule="atLeast"/>
        <w:jc w:val="center"/>
        <w:textAlignment w:val="baseline"/>
        <w:rPr>
          <w:rFonts w:ascii="PT Astra Serif" w:eastAsia="Times New Roman" w:hAnsi="PT Astra Serif" w:cs="Times New Roman"/>
          <w:i/>
          <w:color w:val="0070C0"/>
          <w:sz w:val="28"/>
          <w:szCs w:val="28"/>
          <w:lang w:val="ru-RU" w:eastAsia="ru-RU"/>
        </w:rPr>
      </w:pPr>
      <w:r w:rsidRPr="003B67BB">
        <w:rPr>
          <w:rFonts w:ascii="PT Astra Serif" w:eastAsia="Times New Roman" w:hAnsi="PT Astra Serif" w:cs="Times New Roman"/>
          <w:i/>
          <w:color w:val="0070C0"/>
          <w:sz w:val="28"/>
          <w:szCs w:val="28"/>
          <w:lang w:val="ru-RU" w:eastAsia="ru-RU"/>
        </w:rPr>
        <w:t>Инфографика 1</w:t>
      </w:r>
    </w:p>
    <w:p w:rsidR="00FE3C5C" w:rsidRPr="00572831" w:rsidRDefault="00FE3C5C" w:rsidP="00ED1283">
      <w:pPr>
        <w:tabs>
          <w:tab w:val="left" w:pos="0"/>
        </w:tabs>
        <w:overflowPunct w:val="0"/>
        <w:autoSpaceDE w:val="0"/>
        <w:autoSpaceDN w:val="0"/>
        <w:adjustRightInd w:val="0"/>
        <w:spacing w:after="0" w:line="19" w:lineRule="atLeast"/>
        <w:jc w:val="both"/>
        <w:textAlignment w:val="baseline"/>
        <w:rPr>
          <w:rFonts w:ascii="PT Astra Serif" w:eastAsia="Times New Roman" w:hAnsi="PT Astra Serif" w:cs="Times New Roman"/>
          <w:i/>
          <w:sz w:val="28"/>
          <w:szCs w:val="28"/>
          <w:lang w:val="ru-RU" w:eastAsia="ru-RU"/>
        </w:rPr>
      </w:pPr>
      <w:r>
        <w:rPr>
          <w:rFonts w:ascii="PT Astra Serif" w:eastAsia="Times New Roman" w:hAnsi="PT Astra Serif" w:cs="Times New Roman"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5940425" cy="5770699"/>
            <wp:effectExtent l="38100" t="38100" r="41275" b="40005"/>
            <wp:docPr id="17" name="Рисунок 17" descr="D:\картинки для МО\iTA21MA03_понижак4кв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артинки для МО\iTA21MA03_понижак4кв201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70699"/>
                    </a:xfrm>
                    <a:prstGeom prst="rect">
                      <a:avLst/>
                    </a:prstGeom>
                    <a:noFill/>
                    <a:ln w="34925">
                      <a:solidFill>
                        <a:srgbClr val="92D050"/>
                      </a:solidFill>
                    </a:ln>
                  </pic:spPr>
                </pic:pic>
              </a:graphicData>
            </a:graphic>
          </wp:inline>
        </w:drawing>
      </w:r>
    </w:p>
    <w:tbl>
      <w:tblPr>
        <w:tblStyle w:val="2"/>
        <w:tblW w:w="9477" w:type="dxa"/>
        <w:tblInd w:w="93" w:type="dxa"/>
        <w:tblLayout w:type="fixed"/>
        <w:tblLook w:val="04A0"/>
      </w:tblPr>
      <w:tblGrid>
        <w:gridCol w:w="731"/>
        <w:gridCol w:w="5011"/>
        <w:gridCol w:w="1795"/>
        <w:gridCol w:w="1940"/>
      </w:tblGrid>
      <w:tr w:rsidR="00FE3C5C" w:rsidRPr="00572831" w:rsidTr="00C451C7">
        <w:trPr>
          <w:trHeight w:val="300"/>
        </w:trPr>
        <w:tc>
          <w:tcPr>
            <w:tcW w:w="731" w:type="dxa"/>
          </w:tcPr>
          <w:p w:rsidR="00FE3C5C" w:rsidRPr="00572831" w:rsidRDefault="00FE3C5C" w:rsidP="00ED1283">
            <w:pPr>
              <w:tabs>
                <w:tab w:val="left" w:pos="2445"/>
              </w:tabs>
              <w:overflowPunct w:val="0"/>
              <w:autoSpaceDE w:val="0"/>
              <w:autoSpaceDN w:val="0"/>
              <w:adjustRightInd w:val="0"/>
              <w:spacing w:line="19" w:lineRule="atLeast"/>
              <w:jc w:val="center"/>
              <w:textAlignment w:val="baseline"/>
              <w:rPr>
                <w:rFonts w:ascii="PT Astra Serif" w:eastAsiaTheme="minorHAnsi" w:hAnsi="PT Astra Serif" w:cstheme="minorBidi"/>
                <w:b/>
                <w:sz w:val="26"/>
                <w:szCs w:val="26"/>
                <w:lang w:val="ru-RU" w:eastAsia="en-US"/>
              </w:rPr>
            </w:pPr>
            <w:r w:rsidRPr="00572831">
              <w:rPr>
                <w:rFonts w:ascii="PT Astra Serif" w:hAnsi="PT Astra Serif"/>
                <w:i/>
                <w:sz w:val="26"/>
                <w:szCs w:val="26"/>
                <w:lang w:val="ru-RU"/>
              </w:rPr>
              <w:tab/>
            </w:r>
          </w:p>
          <w:p w:rsidR="00FE3C5C" w:rsidRPr="00572831" w:rsidRDefault="00FE3C5C" w:rsidP="00ED1283">
            <w:pPr>
              <w:tabs>
                <w:tab w:val="left" w:pos="2445"/>
              </w:tabs>
              <w:overflowPunct w:val="0"/>
              <w:autoSpaceDE w:val="0"/>
              <w:autoSpaceDN w:val="0"/>
              <w:adjustRightInd w:val="0"/>
              <w:spacing w:line="19" w:lineRule="atLeast"/>
              <w:jc w:val="center"/>
              <w:textAlignment w:val="baseline"/>
              <w:rPr>
                <w:rFonts w:ascii="PT Astra Serif" w:eastAsiaTheme="minorHAnsi" w:hAnsi="PT Astra Serif" w:cstheme="minorBidi"/>
                <w:b/>
                <w:sz w:val="26"/>
                <w:szCs w:val="26"/>
                <w:lang w:val="ru-RU" w:eastAsia="en-US"/>
              </w:rPr>
            </w:pPr>
          </w:p>
          <w:p w:rsidR="00FE3C5C" w:rsidRPr="00572831" w:rsidRDefault="00FE3C5C" w:rsidP="00ED1283">
            <w:pPr>
              <w:tabs>
                <w:tab w:val="left" w:pos="2445"/>
              </w:tabs>
              <w:overflowPunct w:val="0"/>
              <w:autoSpaceDE w:val="0"/>
              <w:autoSpaceDN w:val="0"/>
              <w:adjustRightInd w:val="0"/>
              <w:spacing w:line="19" w:lineRule="atLeast"/>
              <w:jc w:val="center"/>
              <w:textAlignment w:val="baseline"/>
              <w:rPr>
                <w:rFonts w:ascii="PT Astra Serif" w:eastAsiaTheme="minorHAnsi" w:hAnsi="PT Astra Serif" w:cstheme="minorBidi"/>
                <w:b/>
                <w:sz w:val="26"/>
                <w:szCs w:val="26"/>
                <w:lang w:val="ru-RU" w:eastAsia="en-US"/>
              </w:rPr>
            </w:pPr>
          </w:p>
          <w:p w:rsidR="00FE3C5C" w:rsidRPr="00572831" w:rsidRDefault="00FE3C5C" w:rsidP="00ED1283">
            <w:pPr>
              <w:tabs>
                <w:tab w:val="left" w:pos="2445"/>
              </w:tabs>
              <w:overflowPunct w:val="0"/>
              <w:autoSpaceDE w:val="0"/>
              <w:autoSpaceDN w:val="0"/>
              <w:adjustRightInd w:val="0"/>
              <w:spacing w:line="19" w:lineRule="atLeast"/>
              <w:jc w:val="center"/>
              <w:textAlignment w:val="baseline"/>
              <w:rPr>
                <w:rFonts w:ascii="PT Astra Serif" w:eastAsiaTheme="minorHAnsi" w:hAnsi="PT Astra Serif" w:cstheme="minorBidi"/>
                <w:b/>
                <w:sz w:val="26"/>
                <w:szCs w:val="26"/>
                <w:lang w:val="ru-RU" w:eastAsia="en-US"/>
              </w:rPr>
            </w:pPr>
            <w:r w:rsidRPr="00572831">
              <w:rPr>
                <w:rFonts w:ascii="PT Astra Serif" w:eastAsiaTheme="minorHAnsi" w:hAnsi="PT Astra Serif" w:cstheme="minorBidi"/>
                <w:b/>
                <w:sz w:val="26"/>
                <w:szCs w:val="26"/>
                <w:lang w:val="ru-RU" w:eastAsia="en-US"/>
              </w:rPr>
              <w:t>№</w:t>
            </w:r>
          </w:p>
          <w:p w:rsidR="00FE3C5C" w:rsidRPr="00572831" w:rsidRDefault="00FE3C5C" w:rsidP="00ED1283">
            <w:pPr>
              <w:tabs>
                <w:tab w:val="left" w:pos="2445"/>
              </w:tabs>
              <w:overflowPunct w:val="0"/>
              <w:autoSpaceDE w:val="0"/>
              <w:autoSpaceDN w:val="0"/>
              <w:adjustRightInd w:val="0"/>
              <w:spacing w:line="19" w:lineRule="atLeast"/>
              <w:jc w:val="center"/>
              <w:textAlignment w:val="baseline"/>
              <w:rPr>
                <w:rFonts w:ascii="PT Astra Serif" w:eastAsiaTheme="minorHAnsi" w:hAnsi="PT Astra Serif" w:cstheme="minorBidi"/>
                <w:b/>
                <w:sz w:val="26"/>
                <w:szCs w:val="26"/>
                <w:lang w:val="ru-RU" w:eastAsia="en-US"/>
              </w:rPr>
            </w:pPr>
            <w:r w:rsidRPr="00572831">
              <w:rPr>
                <w:rFonts w:ascii="PT Astra Serif" w:eastAsiaTheme="minorHAnsi" w:hAnsi="PT Astra Serif" w:cstheme="minorBidi"/>
                <w:b/>
                <w:sz w:val="26"/>
                <w:szCs w:val="26"/>
                <w:lang w:val="ru-RU" w:eastAsia="en-US"/>
              </w:rPr>
              <w:t>п/п</w:t>
            </w:r>
          </w:p>
        </w:tc>
        <w:tc>
          <w:tcPr>
            <w:tcW w:w="5011" w:type="dxa"/>
            <w:noWrap/>
          </w:tcPr>
          <w:p w:rsidR="00FE3C5C" w:rsidRPr="00572831" w:rsidRDefault="00FE3C5C" w:rsidP="00ED1283">
            <w:pPr>
              <w:tabs>
                <w:tab w:val="left" w:pos="2445"/>
              </w:tabs>
              <w:overflowPunct w:val="0"/>
              <w:autoSpaceDE w:val="0"/>
              <w:autoSpaceDN w:val="0"/>
              <w:adjustRightInd w:val="0"/>
              <w:spacing w:line="19" w:lineRule="atLeast"/>
              <w:jc w:val="center"/>
              <w:textAlignment w:val="baseline"/>
              <w:rPr>
                <w:rFonts w:ascii="PT Astra Serif" w:eastAsiaTheme="minorHAnsi" w:hAnsi="PT Astra Serif" w:cstheme="minorBidi"/>
                <w:b/>
                <w:sz w:val="26"/>
                <w:szCs w:val="26"/>
                <w:lang w:val="ru-RU" w:eastAsia="en-US"/>
              </w:rPr>
            </w:pPr>
          </w:p>
          <w:p w:rsidR="00FE3C5C" w:rsidRPr="00572831" w:rsidRDefault="00FE3C5C" w:rsidP="00ED1283">
            <w:pPr>
              <w:tabs>
                <w:tab w:val="left" w:pos="2445"/>
              </w:tabs>
              <w:overflowPunct w:val="0"/>
              <w:autoSpaceDE w:val="0"/>
              <w:autoSpaceDN w:val="0"/>
              <w:adjustRightInd w:val="0"/>
              <w:spacing w:line="19" w:lineRule="atLeast"/>
              <w:jc w:val="center"/>
              <w:textAlignment w:val="baseline"/>
              <w:rPr>
                <w:rFonts w:ascii="PT Astra Serif" w:eastAsiaTheme="minorHAnsi" w:hAnsi="PT Astra Serif" w:cstheme="minorBidi"/>
                <w:b/>
                <w:sz w:val="26"/>
                <w:szCs w:val="26"/>
                <w:lang w:val="ru-RU" w:eastAsia="en-US"/>
              </w:rPr>
            </w:pPr>
            <w:r w:rsidRPr="00572831">
              <w:rPr>
                <w:rFonts w:ascii="PT Astra Serif" w:eastAsiaTheme="minorHAnsi" w:hAnsi="PT Astra Serif" w:cstheme="minorBidi"/>
                <w:b/>
                <w:sz w:val="26"/>
                <w:szCs w:val="26"/>
                <w:lang w:val="ru-RU" w:eastAsia="en-US"/>
              </w:rPr>
              <w:t>Наименование муниципального</w:t>
            </w:r>
          </w:p>
          <w:p w:rsidR="00FE3C5C" w:rsidRPr="00572831" w:rsidRDefault="00FE3C5C" w:rsidP="00ED1283">
            <w:pPr>
              <w:overflowPunct w:val="0"/>
              <w:autoSpaceDE w:val="0"/>
              <w:autoSpaceDN w:val="0"/>
              <w:adjustRightInd w:val="0"/>
              <w:spacing w:line="19" w:lineRule="atLeast"/>
              <w:jc w:val="center"/>
              <w:textAlignment w:val="baseline"/>
              <w:rPr>
                <w:rFonts w:ascii="PT Astra Serif" w:eastAsiaTheme="minorHAnsi" w:hAnsi="PT Astra Serif" w:cstheme="minorBidi"/>
                <w:b/>
                <w:sz w:val="26"/>
                <w:szCs w:val="26"/>
                <w:lang w:val="ru-RU" w:eastAsia="en-US"/>
              </w:rPr>
            </w:pPr>
            <w:r w:rsidRPr="00572831">
              <w:rPr>
                <w:rFonts w:ascii="PT Astra Serif" w:eastAsiaTheme="minorHAnsi" w:hAnsi="PT Astra Serif" w:cstheme="minorBidi"/>
                <w:b/>
                <w:sz w:val="26"/>
                <w:szCs w:val="26"/>
                <w:lang w:val="ru-RU" w:eastAsia="en-US"/>
              </w:rPr>
              <w:t xml:space="preserve">образования Ульяновской области, </w:t>
            </w:r>
          </w:p>
          <w:p w:rsidR="00FE3C5C" w:rsidRPr="00572831" w:rsidRDefault="00FE3C5C" w:rsidP="00ED1283">
            <w:pPr>
              <w:overflowPunct w:val="0"/>
              <w:autoSpaceDE w:val="0"/>
              <w:autoSpaceDN w:val="0"/>
              <w:adjustRightInd w:val="0"/>
              <w:spacing w:line="19" w:lineRule="atLeast"/>
              <w:jc w:val="center"/>
              <w:textAlignment w:val="baseline"/>
              <w:rPr>
                <w:rFonts w:ascii="PT Astra Serif" w:eastAsiaTheme="minorHAnsi" w:hAnsi="PT Astra Serif" w:cstheme="minorBidi"/>
                <w:b/>
                <w:sz w:val="26"/>
                <w:szCs w:val="26"/>
                <w:lang w:val="ru-RU" w:eastAsia="en-US"/>
              </w:rPr>
            </w:pPr>
            <w:r w:rsidRPr="00572831">
              <w:rPr>
                <w:rFonts w:ascii="PT Astra Serif" w:eastAsiaTheme="minorHAnsi" w:hAnsi="PT Astra Serif" w:cstheme="minorBidi"/>
                <w:b/>
                <w:sz w:val="26"/>
                <w:szCs w:val="26"/>
                <w:lang w:val="ru-RU" w:eastAsia="en-US"/>
              </w:rPr>
              <w:t xml:space="preserve">в котором показатель активности </w:t>
            </w:r>
          </w:p>
          <w:p w:rsidR="00FE3C5C" w:rsidRPr="00572831" w:rsidRDefault="00FE3C5C" w:rsidP="00ED1283">
            <w:pPr>
              <w:overflowPunct w:val="0"/>
              <w:autoSpaceDE w:val="0"/>
              <w:autoSpaceDN w:val="0"/>
              <w:adjustRightInd w:val="0"/>
              <w:spacing w:line="19" w:lineRule="atLeast"/>
              <w:jc w:val="center"/>
              <w:textAlignment w:val="baseline"/>
              <w:rPr>
                <w:rFonts w:ascii="PT Astra Serif" w:eastAsiaTheme="minorHAnsi" w:hAnsi="PT Astra Serif" w:cstheme="minorBidi"/>
                <w:b/>
                <w:sz w:val="26"/>
                <w:szCs w:val="26"/>
                <w:lang w:val="ru-RU" w:eastAsia="en-US"/>
              </w:rPr>
            </w:pPr>
            <w:r w:rsidRPr="00572831">
              <w:rPr>
                <w:rFonts w:ascii="PT Astra Serif" w:eastAsiaTheme="minorHAnsi" w:hAnsi="PT Astra Serif" w:cstheme="minorBidi"/>
                <w:b/>
                <w:sz w:val="26"/>
                <w:szCs w:val="26"/>
                <w:lang w:val="ru-RU" w:eastAsia="en-US"/>
              </w:rPr>
              <w:t xml:space="preserve">обращений </w:t>
            </w:r>
            <w:r w:rsidRPr="00572831">
              <w:rPr>
                <w:rFonts w:ascii="PT Astra Serif" w:eastAsiaTheme="minorHAnsi" w:hAnsi="PT Astra Serif" w:cstheme="minorBidi"/>
                <w:b/>
                <w:sz w:val="26"/>
                <w:szCs w:val="26"/>
                <w:u w:val="single" w:color="92D050"/>
                <w:lang w:val="ru-RU" w:eastAsia="en-US"/>
              </w:rPr>
              <w:t>значительно ниже</w:t>
            </w:r>
            <w:r w:rsidRPr="00572831">
              <w:rPr>
                <w:rFonts w:ascii="PT Astra Serif" w:eastAsiaTheme="minorHAnsi" w:hAnsi="PT Astra Serif" w:cstheme="minorBidi"/>
                <w:b/>
                <w:sz w:val="26"/>
                <w:szCs w:val="26"/>
                <w:lang w:val="ru-RU" w:eastAsia="en-US"/>
              </w:rPr>
              <w:t xml:space="preserve"> среднего </w:t>
            </w:r>
          </w:p>
          <w:p w:rsidR="00FE3C5C" w:rsidRPr="00572831" w:rsidRDefault="00FE3C5C" w:rsidP="00ED1283">
            <w:pPr>
              <w:overflowPunct w:val="0"/>
              <w:autoSpaceDE w:val="0"/>
              <w:autoSpaceDN w:val="0"/>
              <w:adjustRightInd w:val="0"/>
              <w:spacing w:line="19" w:lineRule="atLeast"/>
              <w:jc w:val="center"/>
              <w:textAlignment w:val="baseline"/>
              <w:rPr>
                <w:rFonts w:ascii="PT Astra Serif" w:eastAsiaTheme="minorHAnsi" w:hAnsi="PT Astra Serif" w:cstheme="minorBidi"/>
                <w:b/>
                <w:sz w:val="26"/>
                <w:szCs w:val="26"/>
                <w:lang w:val="ru-RU" w:eastAsia="en-US"/>
              </w:rPr>
            </w:pPr>
            <w:r w:rsidRPr="00572831">
              <w:rPr>
                <w:rFonts w:ascii="PT Astra Serif" w:eastAsiaTheme="minorHAnsi" w:hAnsi="PT Astra Serif" w:cstheme="minorBidi"/>
                <w:b/>
                <w:sz w:val="26"/>
                <w:szCs w:val="26"/>
                <w:lang w:val="ru-RU" w:eastAsia="en-US"/>
              </w:rPr>
              <w:t>по области показателя</w:t>
            </w:r>
            <w:r w:rsidRPr="0051031C">
              <w:rPr>
                <w:rFonts w:ascii="PT Astra Serif" w:eastAsiaTheme="minorHAnsi" w:hAnsi="PT Astra Serif" w:cstheme="minorBidi"/>
                <w:b/>
                <w:sz w:val="26"/>
                <w:szCs w:val="26"/>
                <w:shd w:val="clear" w:color="auto" w:fill="92D050"/>
                <w:lang w:val="ru-RU" w:eastAsia="en-US"/>
              </w:rPr>
              <w:t>25,7</w:t>
            </w:r>
          </w:p>
          <w:p w:rsidR="00FE3C5C" w:rsidRPr="00572831" w:rsidRDefault="00FE3C5C" w:rsidP="00ED1283">
            <w:pPr>
              <w:overflowPunct w:val="0"/>
              <w:autoSpaceDE w:val="0"/>
              <w:autoSpaceDN w:val="0"/>
              <w:adjustRightInd w:val="0"/>
              <w:spacing w:line="19" w:lineRule="atLeast"/>
              <w:jc w:val="center"/>
              <w:textAlignment w:val="baseline"/>
              <w:rPr>
                <w:rFonts w:ascii="PT Astra Serif" w:hAnsi="PT Astra Serif"/>
                <w:b/>
                <w:sz w:val="26"/>
                <w:szCs w:val="26"/>
                <w:lang w:val="ru-RU"/>
              </w:rPr>
            </w:pPr>
          </w:p>
        </w:tc>
        <w:tc>
          <w:tcPr>
            <w:tcW w:w="1795" w:type="dxa"/>
            <w:noWrap/>
          </w:tcPr>
          <w:p w:rsidR="00FE3C5C" w:rsidRPr="00572831" w:rsidRDefault="00FE3C5C" w:rsidP="00ED1283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line="19" w:lineRule="atLeast"/>
              <w:ind w:firstLine="709"/>
              <w:jc w:val="both"/>
              <w:textAlignment w:val="baseline"/>
              <w:rPr>
                <w:rFonts w:ascii="PT Astra Serif" w:eastAsiaTheme="minorHAnsi" w:hAnsi="PT Astra Serif" w:cstheme="minorBidi"/>
                <w:b/>
                <w:sz w:val="26"/>
                <w:szCs w:val="26"/>
                <w:lang w:val="ru-RU" w:eastAsia="en-US"/>
              </w:rPr>
            </w:pPr>
          </w:p>
          <w:p w:rsidR="00FE3C5C" w:rsidRPr="00572831" w:rsidRDefault="00FE3C5C" w:rsidP="00ED128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19" w:lineRule="atLeast"/>
              <w:jc w:val="center"/>
              <w:textAlignment w:val="baseline"/>
              <w:rPr>
                <w:rFonts w:ascii="PT Astra Serif" w:eastAsiaTheme="minorHAnsi" w:hAnsi="PT Astra Serif" w:cstheme="minorBidi"/>
                <w:b/>
                <w:sz w:val="26"/>
                <w:szCs w:val="26"/>
                <w:lang w:val="ru-RU" w:eastAsia="en-US"/>
              </w:rPr>
            </w:pPr>
            <w:r w:rsidRPr="00572831">
              <w:rPr>
                <w:rFonts w:ascii="PT Astra Serif" w:eastAsiaTheme="minorHAnsi" w:hAnsi="PT Astra Serif" w:cstheme="minorBidi"/>
                <w:b/>
                <w:sz w:val="26"/>
                <w:szCs w:val="26"/>
                <w:lang w:val="ru-RU" w:eastAsia="en-US"/>
              </w:rPr>
              <w:t xml:space="preserve">Показатель </w:t>
            </w:r>
          </w:p>
          <w:p w:rsidR="00FE3C5C" w:rsidRPr="00572831" w:rsidRDefault="00FE3C5C" w:rsidP="00ED128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19" w:lineRule="atLeast"/>
              <w:jc w:val="center"/>
              <w:textAlignment w:val="baseline"/>
              <w:rPr>
                <w:rFonts w:ascii="PT Astra Serif" w:eastAsiaTheme="minorHAnsi" w:hAnsi="PT Astra Serif" w:cstheme="minorBidi"/>
                <w:b/>
                <w:sz w:val="26"/>
                <w:szCs w:val="26"/>
                <w:lang w:val="ru-RU" w:eastAsia="en-US"/>
              </w:rPr>
            </w:pPr>
            <w:r w:rsidRPr="00572831">
              <w:rPr>
                <w:rFonts w:ascii="PT Astra Serif" w:eastAsiaTheme="minorHAnsi" w:hAnsi="PT Astra Serif" w:cstheme="minorBidi"/>
                <w:b/>
                <w:sz w:val="26"/>
                <w:szCs w:val="26"/>
                <w:lang w:val="ru-RU" w:eastAsia="en-US"/>
              </w:rPr>
              <w:t>активности</w:t>
            </w:r>
          </w:p>
          <w:p w:rsidR="00FE3C5C" w:rsidRPr="00572831" w:rsidRDefault="00FE3C5C" w:rsidP="00ED128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19" w:lineRule="atLeast"/>
              <w:jc w:val="center"/>
              <w:textAlignment w:val="baseline"/>
              <w:rPr>
                <w:rFonts w:ascii="PT Astra Serif" w:hAnsi="PT Astra Serif"/>
                <w:b/>
                <w:sz w:val="26"/>
                <w:szCs w:val="26"/>
                <w:lang w:val="ru-RU"/>
              </w:rPr>
            </w:pPr>
            <w:r w:rsidRPr="00572831">
              <w:rPr>
                <w:rFonts w:ascii="PT Astra Serif" w:eastAsiaTheme="minorHAnsi" w:hAnsi="PT Astra Serif" w:cstheme="minorBidi"/>
                <w:b/>
                <w:sz w:val="26"/>
                <w:szCs w:val="26"/>
                <w:lang w:val="ru-RU" w:eastAsia="en-US"/>
              </w:rPr>
              <w:t>обращений</w:t>
            </w:r>
          </w:p>
        </w:tc>
        <w:tc>
          <w:tcPr>
            <w:tcW w:w="1940" w:type="dxa"/>
          </w:tcPr>
          <w:p w:rsidR="00FE3C5C" w:rsidRPr="00572831" w:rsidRDefault="00FE3C5C" w:rsidP="00ED1283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line="19" w:lineRule="atLeast"/>
              <w:ind w:firstLine="709"/>
              <w:jc w:val="both"/>
              <w:textAlignment w:val="baseline"/>
              <w:rPr>
                <w:rFonts w:ascii="PT Astra Serif" w:hAnsi="PT Astra Serif"/>
                <w:b/>
                <w:sz w:val="26"/>
                <w:szCs w:val="26"/>
                <w:lang w:val="ru-RU"/>
              </w:rPr>
            </w:pPr>
          </w:p>
          <w:p w:rsidR="00FE3C5C" w:rsidRPr="00572831" w:rsidRDefault="00FE3C5C" w:rsidP="00ED1283">
            <w:pPr>
              <w:tabs>
                <w:tab w:val="left" w:pos="-44"/>
              </w:tabs>
              <w:overflowPunct w:val="0"/>
              <w:autoSpaceDE w:val="0"/>
              <w:autoSpaceDN w:val="0"/>
              <w:adjustRightInd w:val="0"/>
              <w:spacing w:line="19" w:lineRule="atLeast"/>
              <w:ind w:left="-44"/>
              <w:jc w:val="center"/>
              <w:textAlignment w:val="baseline"/>
              <w:rPr>
                <w:rFonts w:ascii="PT Astra Serif" w:hAnsi="PT Astra Serif"/>
                <w:b/>
                <w:sz w:val="26"/>
                <w:szCs w:val="26"/>
                <w:lang w:val="ru-RU"/>
              </w:rPr>
            </w:pPr>
            <w:r w:rsidRPr="00572831">
              <w:rPr>
                <w:rFonts w:ascii="PT Astra Serif" w:hAnsi="PT Astra Serif"/>
                <w:b/>
                <w:sz w:val="26"/>
                <w:szCs w:val="26"/>
                <w:lang w:val="ru-RU"/>
              </w:rPr>
              <w:t>Коэффициент снижения</w:t>
            </w:r>
          </w:p>
        </w:tc>
      </w:tr>
      <w:tr w:rsidR="00FE3C5C" w:rsidRPr="00572831" w:rsidTr="00C451C7">
        <w:trPr>
          <w:trHeight w:val="300"/>
        </w:trPr>
        <w:tc>
          <w:tcPr>
            <w:tcW w:w="731" w:type="dxa"/>
          </w:tcPr>
          <w:p w:rsidR="00FE3C5C" w:rsidRPr="00572831" w:rsidRDefault="00FE3C5C" w:rsidP="00ED1283">
            <w:pPr>
              <w:numPr>
                <w:ilvl w:val="0"/>
                <w:numId w:val="2"/>
              </w:num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line="19" w:lineRule="atLeast"/>
              <w:ind w:left="0" w:firstLine="0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  <w:tc>
          <w:tcPr>
            <w:tcW w:w="5011" w:type="dxa"/>
            <w:shd w:val="clear" w:color="auto" w:fill="92D050"/>
            <w:noWrap/>
          </w:tcPr>
          <w:p w:rsidR="00FE3C5C" w:rsidRPr="00572831" w:rsidRDefault="00FE3C5C" w:rsidP="00ED1283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line="19" w:lineRule="atLeast"/>
              <w:ind w:firstLine="709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572831">
              <w:rPr>
                <w:rFonts w:ascii="PT Astra Serif" w:hAnsi="PT Astra Serif"/>
                <w:sz w:val="28"/>
                <w:szCs w:val="28"/>
                <w:lang w:val="ru-RU"/>
              </w:rPr>
              <w:t>«Павловский район»</w:t>
            </w:r>
          </w:p>
        </w:tc>
        <w:tc>
          <w:tcPr>
            <w:tcW w:w="1795" w:type="dxa"/>
            <w:shd w:val="clear" w:color="auto" w:fill="92D050"/>
            <w:noWrap/>
            <w:hideMark/>
          </w:tcPr>
          <w:p w:rsidR="00FE3C5C" w:rsidRPr="00572831" w:rsidRDefault="00FE3C5C" w:rsidP="00ED1283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line="19" w:lineRule="atLeast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lang w:val="ru-RU"/>
              </w:rPr>
              <w:t>4,5</w:t>
            </w:r>
          </w:p>
        </w:tc>
        <w:tc>
          <w:tcPr>
            <w:tcW w:w="1940" w:type="dxa"/>
            <w:shd w:val="clear" w:color="auto" w:fill="92D050"/>
          </w:tcPr>
          <w:p w:rsidR="00FE3C5C" w:rsidRPr="00572831" w:rsidRDefault="00FE3C5C" w:rsidP="00ED1283">
            <w:pPr>
              <w:tabs>
                <w:tab w:val="left" w:pos="-44"/>
              </w:tabs>
              <w:overflowPunct w:val="0"/>
              <w:autoSpaceDE w:val="0"/>
              <w:autoSpaceDN w:val="0"/>
              <w:adjustRightInd w:val="0"/>
              <w:spacing w:line="19" w:lineRule="atLeast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val="ru-RU"/>
              </w:rPr>
            </w:pPr>
            <w:r>
              <w:rPr>
                <w:rFonts w:ascii="PT Astra Serif" w:hAnsi="PT Astra Serif"/>
                <w:sz w:val="28"/>
                <w:szCs w:val="28"/>
                <w:lang w:val="ru-RU"/>
              </w:rPr>
              <w:t>в 5,7 раза</w:t>
            </w:r>
          </w:p>
        </w:tc>
      </w:tr>
      <w:tr w:rsidR="00FE3C5C" w:rsidRPr="00572831" w:rsidTr="00C451C7">
        <w:trPr>
          <w:trHeight w:val="300"/>
        </w:trPr>
        <w:tc>
          <w:tcPr>
            <w:tcW w:w="731" w:type="dxa"/>
          </w:tcPr>
          <w:p w:rsidR="00FE3C5C" w:rsidRPr="00572831" w:rsidRDefault="00FE3C5C" w:rsidP="00ED1283">
            <w:pPr>
              <w:numPr>
                <w:ilvl w:val="0"/>
                <w:numId w:val="2"/>
              </w:num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line="19" w:lineRule="atLeast"/>
              <w:ind w:left="0" w:firstLine="0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  <w:tc>
          <w:tcPr>
            <w:tcW w:w="5011" w:type="dxa"/>
            <w:shd w:val="clear" w:color="auto" w:fill="92D050"/>
            <w:noWrap/>
          </w:tcPr>
          <w:p w:rsidR="00FE3C5C" w:rsidRPr="00572831" w:rsidRDefault="00FE3C5C" w:rsidP="00ED1283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line="19" w:lineRule="atLeast"/>
              <w:ind w:firstLine="709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572831">
              <w:rPr>
                <w:rFonts w:ascii="PT Astra Serif" w:hAnsi="PT Astra Serif"/>
                <w:sz w:val="28"/>
                <w:szCs w:val="28"/>
                <w:lang w:val="ru-RU"/>
              </w:rPr>
              <w:t>«город Новоульяновск»</w:t>
            </w:r>
          </w:p>
        </w:tc>
        <w:tc>
          <w:tcPr>
            <w:tcW w:w="1795" w:type="dxa"/>
            <w:shd w:val="clear" w:color="auto" w:fill="92D050"/>
            <w:noWrap/>
            <w:hideMark/>
          </w:tcPr>
          <w:p w:rsidR="00FE3C5C" w:rsidRPr="00572831" w:rsidRDefault="00FE3C5C" w:rsidP="00ED1283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line="19" w:lineRule="atLeast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lang w:val="ru-RU"/>
              </w:rPr>
              <w:t>6,1</w:t>
            </w:r>
          </w:p>
        </w:tc>
        <w:tc>
          <w:tcPr>
            <w:tcW w:w="1940" w:type="dxa"/>
            <w:shd w:val="clear" w:color="auto" w:fill="92D050"/>
          </w:tcPr>
          <w:p w:rsidR="00FE3C5C" w:rsidRPr="00572831" w:rsidRDefault="00FE3C5C" w:rsidP="00ED1283">
            <w:pPr>
              <w:tabs>
                <w:tab w:val="left" w:pos="-44"/>
              </w:tabs>
              <w:overflowPunct w:val="0"/>
              <w:autoSpaceDE w:val="0"/>
              <w:autoSpaceDN w:val="0"/>
              <w:adjustRightInd w:val="0"/>
              <w:spacing w:line="19" w:lineRule="atLeast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val="ru-RU"/>
              </w:rPr>
            </w:pPr>
            <w:r>
              <w:rPr>
                <w:rFonts w:ascii="PT Astra Serif" w:hAnsi="PT Astra Serif"/>
                <w:sz w:val="28"/>
                <w:szCs w:val="28"/>
                <w:lang w:val="ru-RU"/>
              </w:rPr>
              <w:t xml:space="preserve"> в 4,2 раза</w:t>
            </w:r>
          </w:p>
        </w:tc>
      </w:tr>
      <w:tr w:rsidR="00FE3C5C" w:rsidRPr="00572831" w:rsidTr="00C451C7">
        <w:trPr>
          <w:trHeight w:val="300"/>
        </w:trPr>
        <w:tc>
          <w:tcPr>
            <w:tcW w:w="731" w:type="dxa"/>
          </w:tcPr>
          <w:p w:rsidR="00FE3C5C" w:rsidRPr="00572831" w:rsidRDefault="00FE3C5C" w:rsidP="00ED1283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line="19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572831">
              <w:rPr>
                <w:rFonts w:ascii="PT Astra Serif" w:hAnsi="PT Astra Serif"/>
                <w:sz w:val="28"/>
                <w:szCs w:val="28"/>
                <w:lang w:val="ru-RU"/>
              </w:rPr>
              <w:t>5.</w:t>
            </w:r>
          </w:p>
        </w:tc>
        <w:tc>
          <w:tcPr>
            <w:tcW w:w="5011" w:type="dxa"/>
            <w:shd w:val="clear" w:color="auto" w:fill="92D050"/>
            <w:noWrap/>
          </w:tcPr>
          <w:p w:rsidR="00FE3C5C" w:rsidRPr="00572831" w:rsidRDefault="00FE3C5C" w:rsidP="00ED1283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line="19" w:lineRule="atLeast"/>
              <w:ind w:firstLine="709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572831">
              <w:rPr>
                <w:rFonts w:ascii="PT Astra Serif" w:hAnsi="PT Astra Serif"/>
                <w:sz w:val="28"/>
                <w:szCs w:val="28"/>
                <w:lang w:val="ru-RU"/>
              </w:rPr>
              <w:t>«</w:t>
            </w:r>
            <w:r>
              <w:rPr>
                <w:rFonts w:ascii="PT Astra Serif" w:hAnsi="PT Astra Serif"/>
                <w:sz w:val="28"/>
                <w:szCs w:val="28"/>
                <w:lang w:val="ru-RU"/>
              </w:rPr>
              <w:t>Новомалыклинский</w:t>
            </w:r>
            <w:r w:rsidRPr="00572831">
              <w:rPr>
                <w:rFonts w:ascii="PT Astra Serif" w:hAnsi="PT Astra Serif"/>
                <w:sz w:val="28"/>
                <w:szCs w:val="28"/>
                <w:lang w:val="ru-RU"/>
              </w:rPr>
              <w:t xml:space="preserve"> район»</w:t>
            </w:r>
          </w:p>
        </w:tc>
        <w:tc>
          <w:tcPr>
            <w:tcW w:w="1795" w:type="dxa"/>
            <w:shd w:val="clear" w:color="auto" w:fill="92D050"/>
            <w:noWrap/>
            <w:hideMark/>
          </w:tcPr>
          <w:p w:rsidR="00FE3C5C" w:rsidRPr="00572831" w:rsidRDefault="00FE3C5C" w:rsidP="00ED1283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line="19" w:lineRule="atLeast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val="ru-RU"/>
              </w:rPr>
            </w:pPr>
            <w:r>
              <w:rPr>
                <w:rFonts w:ascii="PT Astra Serif" w:hAnsi="PT Astra Serif"/>
                <w:sz w:val="28"/>
                <w:szCs w:val="28"/>
                <w:lang w:val="ru-RU"/>
              </w:rPr>
              <w:t>7,9</w:t>
            </w:r>
          </w:p>
        </w:tc>
        <w:tc>
          <w:tcPr>
            <w:tcW w:w="1940" w:type="dxa"/>
            <w:shd w:val="clear" w:color="auto" w:fill="92D050"/>
          </w:tcPr>
          <w:p w:rsidR="00FE3C5C" w:rsidRPr="00572831" w:rsidRDefault="00FE3C5C" w:rsidP="00ED1283">
            <w:pPr>
              <w:tabs>
                <w:tab w:val="left" w:pos="-44"/>
              </w:tabs>
              <w:overflowPunct w:val="0"/>
              <w:autoSpaceDE w:val="0"/>
              <w:autoSpaceDN w:val="0"/>
              <w:adjustRightInd w:val="0"/>
              <w:spacing w:line="19" w:lineRule="atLeast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val="ru-RU"/>
              </w:rPr>
            </w:pPr>
            <w:r>
              <w:rPr>
                <w:rFonts w:ascii="PT Astra Serif" w:hAnsi="PT Astra Serif"/>
                <w:sz w:val="28"/>
                <w:szCs w:val="28"/>
                <w:lang w:val="ru-RU"/>
              </w:rPr>
              <w:t>в 3,3 раза</w:t>
            </w:r>
          </w:p>
        </w:tc>
      </w:tr>
      <w:tr w:rsidR="00FE3C5C" w:rsidRPr="00572831" w:rsidTr="00C451C7">
        <w:trPr>
          <w:trHeight w:val="300"/>
        </w:trPr>
        <w:tc>
          <w:tcPr>
            <w:tcW w:w="731" w:type="dxa"/>
          </w:tcPr>
          <w:p w:rsidR="00FE3C5C" w:rsidRPr="00572831" w:rsidRDefault="00FE3C5C" w:rsidP="00ED1283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line="19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572831">
              <w:rPr>
                <w:rFonts w:ascii="PT Astra Serif" w:hAnsi="PT Astra Serif"/>
                <w:sz w:val="28"/>
                <w:szCs w:val="28"/>
                <w:lang w:val="ru-RU"/>
              </w:rPr>
              <w:t>6.</w:t>
            </w:r>
          </w:p>
        </w:tc>
        <w:tc>
          <w:tcPr>
            <w:tcW w:w="5011" w:type="dxa"/>
            <w:shd w:val="clear" w:color="auto" w:fill="92D050"/>
            <w:noWrap/>
          </w:tcPr>
          <w:p w:rsidR="00FE3C5C" w:rsidRPr="00572831" w:rsidRDefault="00FE3C5C" w:rsidP="00ED1283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line="19" w:lineRule="atLeast"/>
              <w:ind w:firstLine="709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572831">
              <w:rPr>
                <w:rFonts w:ascii="PT Astra Serif" w:hAnsi="PT Astra Serif"/>
                <w:sz w:val="28"/>
                <w:szCs w:val="28"/>
                <w:lang w:val="ru-RU"/>
              </w:rPr>
              <w:t>«</w:t>
            </w:r>
            <w:r>
              <w:rPr>
                <w:rFonts w:ascii="PT Astra Serif" w:hAnsi="PT Astra Serif"/>
                <w:sz w:val="28"/>
                <w:szCs w:val="28"/>
                <w:lang w:val="ru-RU"/>
              </w:rPr>
              <w:t>Николаевский</w:t>
            </w:r>
            <w:r w:rsidRPr="00572831">
              <w:rPr>
                <w:rFonts w:ascii="PT Astra Serif" w:hAnsi="PT Astra Serif"/>
                <w:sz w:val="28"/>
                <w:szCs w:val="28"/>
                <w:lang w:val="ru-RU"/>
              </w:rPr>
              <w:t xml:space="preserve"> район»</w:t>
            </w:r>
          </w:p>
        </w:tc>
        <w:tc>
          <w:tcPr>
            <w:tcW w:w="1795" w:type="dxa"/>
            <w:shd w:val="clear" w:color="auto" w:fill="92D050"/>
            <w:noWrap/>
          </w:tcPr>
          <w:p w:rsidR="00FE3C5C" w:rsidRPr="00572831" w:rsidRDefault="00FE3C5C" w:rsidP="00ED1283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line="19" w:lineRule="atLeast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val="ru-RU"/>
              </w:rPr>
            </w:pPr>
            <w:r>
              <w:rPr>
                <w:rFonts w:ascii="PT Astra Serif" w:hAnsi="PT Astra Serif"/>
                <w:sz w:val="28"/>
                <w:szCs w:val="28"/>
                <w:lang w:val="ru-RU"/>
              </w:rPr>
              <w:t>10,5</w:t>
            </w:r>
          </w:p>
        </w:tc>
        <w:tc>
          <w:tcPr>
            <w:tcW w:w="1940" w:type="dxa"/>
            <w:shd w:val="clear" w:color="auto" w:fill="92D050"/>
          </w:tcPr>
          <w:p w:rsidR="00FE3C5C" w:rsidRPr="00572831" w:rsidRDefault="00FE3C5C" w:rsidP="00ED1283">
            <w:pPr>
              <w:tabs>
                <w:tab w:val="left" w:pos="-44"/>
              </w:tabs>
              <w:overflowPunct w:val="0"/>
              <w:autoSpaceDE w:val="0"/>
              <w:autoSpaceDN w:val="0"/>
              <w:adjustRightInd w:val="0"/>
              <w:spacing w:line="19" w:lineRule="atLeast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val="ru-RU"/>
              </w:rPr>
            </w:pPr>
            <w:r>
              <w:rPr>
                <w:rFonts w:ascii="PT Astra Serif" w:hAnsi="PT Astra Serif"/>
                <w:sz w:val="28"/>
                <w:szCs w:val="28"/>
                <w:lang w:val="ru-RU"/>
              </w:rPr>
              <w:t>в 2,4 раза</w:t>
            </w:r>
          </w:p>
        </w:tc>
      </w:tr>
      <w:tr w:rsidR="00FE3C5C" w:rsidRPr="00572831" w:rsidTr="00C451C7">
        <w:trPr>
          <w:trHeight w:val="300"/>
        </w:trPr>
        <w:tc>
          <w:tcPr>
            <w:tcW w:w="731" w:type="dxa"/>
          </w:tcPr>
          <w:p w:rsidR="00FE3C5C" w:rsidRPr="00572831" w:rsidRDefault="00FE3C5C" w:rsidP="00ED1283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line="19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572831">
              <w:rPr>
                <w:rFonts w:ascii="PT Astra Serif" w:hAnsi="PT Astra Serif"/>
                <w:sz w:val="28"/>
                <w:szCs w:val="28"/>
                <w:lang w:val="ru-RU"/>
              </w:rPr>
              <w:t>7.</w:t>
            </w:r>
          </w:p>
        </w:tc>
        <w:tc>
          <w:tcPr>
            <w:tcW w:w="5011" w:type="dxa"/>
            <w:shd w:val="clear" w:color="auto" w:fill="92D050"/>
            <w:noWrap/>
          </w:tcPr>
          <w:p w:rsidR="00FE3C5C" w:rsidRPr="00572831" w:rsidRDefault="00FE3C5C" w:rsidP="00ED1283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line="19" w:lineRule="atLeast"/>
              <w:ind w:firstLine="709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572831">
              <w:rPr>
                <w:rFonts w:ascii="PT Astra Serif" w:hAnsi="PT Astra Serif"/>
                <w:sz w:val="28"/>
                <w:szCs w:val="28"/>
                <w:lang w:val="ru-RU"/>
              </w:rPr>
              <w:t>«</w:t>
            </w:r>
            <w:r>
              <w:rPr>
                <w:rFonts w:ascii="PT Astra Serif" w:hAnsi="PT Astra Serif"/>
                <w:sz w:val="28"/>
                <w:szCs w:val="28"/>
                <w:lang w:val="ru-RU"/>
              </w:rPr>
              <w:t>Базарносызганский район</w:t>
            </w:r>
            <w:r w:rsidRPr="00572831">
              <w:rPr>
                <w:rFonts w:ascii="PT Astra Serif" w:hAnsi="PT Astra Serif"/>
                <w:sz w:val="28"/>
                <w:szCs w:val="28"/>
                <w:lang w:val="ru-RU"/>
              </w:rPr>
              <w:t>»</w:t>
            </w:r>
          </w:p>
        </w:tc>
        <w:tc>
          <w:tcPr>
            <w:tcW w:w="1795" w:type="dxa"/>
            <w:shd w:val="clear" w:color="auto" w:fill="92D050"/>
            <w:noWrap/>
          </w:tcPr>
          <w:p w:rsidR="00FE3C5C" w:rsidRPr="00572831" w:rsidRDefault="00FE3C5C" w:rsidP="00ED1283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line="19" w:lineRule="atLeast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val="ru-RU"/>
              </w:rPr>
            </w:pPr>
            <w:r>
              <w:rPr>
                <w:rFonts w:ascii="PT Astra Serif" w:hAnsi="PT Astra Serif"/>
                <w:sz w:val="28"/>
                <w:szCs w:val="28"/>
                <w:lang w:val="ru-RU"/>
              </w:rPr>
              <w:t>10</w:t>
            </w:r>
          </w:p>
        </w:tc>
        <w:tc>
          <w:tcPr>
            <w:tcW w:w="1940" w:type="dxa"/>
            <w:shd w:val="clear" w:color="auto" w:fill="92D050"/>
          </w:tcPr>
          <w:p w:rsidR="00FE3C5C" w:rsidRPr="00572831" w:rsidRDefault="00FE3C5C" w:rsidP="00ED1283">
            <w:pPr>
              <w:tabs>
                <w:tab w:val="left" w:pos="-44"/>
              </w:tabs>
              <w:overflowPunct w:val="0"/>
              <w:autoSpaceDE w:val="0"/>
              <w:autoSpaceDN w:val="0"/>
              <w:adjustRightInd w:val="0"/>
              <w:spacing w:line="19" w:lineRule="atLeast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val="ru-RU"/>
              </w:rPr>
            </w:pPr>
            <w:r>
              <w:rPr>
                <w:rFonts w:ascii="PT Astra Serif" w:hAnsi="PT Astra Serif"/>
                <w:sz w:val="28"/>
                <w:szCs w:val="28"/>
                <w:lang w:val="ru-RU"/>
              </w:rPr>
              <w:t>в 2,6 раза</w:t>
            </w:r>
          </w:p>
        </w:tc>
      </w:tr>
    </w:tbl>
    <w:p w:rsidR="00FE3C5C" w:rsidRPr="003B67BB" w:rsidRDefault="00FE3C5C" w:rsidP="00ED1283">
      <w:pPr>
        <w:tabs>
          <w:tab w:val="left" w:pos="0"/>
        </w:tabs>
        <w:overflowPunct w:val="0"/>
        <w:autoSpaceDE w:val="0"/>
        <w:autoSpaceDN w:val="0"/>
        <w:adjustRightInd w:val="0"/>
        <w:spacing w:after="0" w:line="19" w:lineRule="atLeast"/>
        <w:jc w:val="center"/>
        <w:textAlignment w:val="baseline"/>
        <w:rPr>
          <w:rFonts w:ascii="PT Astra Serif" w:eastAsia="Times New Roman" w:hAnsi="PT Astra Serif" w:cs="Times New Roman"/>
          <w:i/>
          <w:color w:val="0070C0"/>
          <w:sz w:val="28"/>
          <w:szCs w:val="28"/>
          <w:lang w:val="ru-RU" w:eastAsia="ru-RU"/>
        </w:rPr>
      </w:pPr>
      <w:r w:rsidRPr="003B67BB">
        <w:rPr>
          <w:rFonts w:ascii="PT Astra Serif" w:eastAsia="Times New Roman" w:hAnsi="PT Astra Serif" w:cs="Times New Roman"/>
          <w:i/>
          <w:color w:val="0070C0"/>
          <w:sz w:val="28"/>
          <w:szCs w:val="28"/>
          <w:lang w:val="ru-RU" w:eastAsia="ru-RU"/>
        </w:rPr>
        <w:t>Инфографика 2</w:t>
      </w:r>
    </w:p>
    <w:p w:rsidR="00FE3C5C" w:rsidRPr="00572831" w:rsidRDefault="00FE3C5C" w:rsidP="00ED1283">
      <w:pPr>
        <w:tabs>
          <w:tab w:val="left" w:pos="0"/>
        </w:tabs>
        <w:overflowPunct w:val="0"/>
        <w:autoSpaceDE w:val="0"/>
        <w:autoSpaceDN w:val="0"/>
        <w:adjustRightInd w:val="0"/>
        <w:spacing w:after="0" w:line="19" w:lineRule="atLeast"/>
        <w:jc w:val="center"/>
        <w:textAlignment w:val="baseline"/>
        <w:rPr>
          <w:rFonts w:ascii="PT Astra Serif" w:eastAsia="Times New Roman" w:hAnsi="PT Astra Serif" w:cs="Times New Roman"/>
          <w:i/>
          <w:sz w:val="28"/>
          <w:szCs w:val="28"/>
          <w:lang w:val="ru-RU" w:eastAsia="ru-RU"/>
        </w:rPr>
      </w:pPr>
    </w:p>
    <w:p w:rsidR="00FE3C5C" w:rsidRPr="004B4D12" w:rsidRDefault="00FE3C5C" w:rsidP="00ED1283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19" w:lineRule="atLeast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val="ru-RU" w:eastAsia="ru-RU"/>
        </w:rPr>
      </w:pPr>
      <w:r w:rsidRPr="004B4D12">
        <w:rPr>
          <w:rFonts w:ascii="PT Astra Serif" w:eastAsia="Times New Roman" w:hAnsi="PT Astra Serif" w:cs="Times New Roman"/>
          <w:sz w:val="28"/>
          <w:szCs w:val="28"/>
          <w:lang w:val="ru-RU" w:eastAsia="ru-RU"/>
        </w:rPr>
        <w:t>Итак, как видно из инфографики 2, к муниципальным образованиям Ульяновской области, в которых показатель активности обращений значительно ниже среднего по области показателя в текущем периоде, относятся следующие 5: Павловский район, город Новоульяновск,  Новомалыклинский район, Базарносызганский район, Николаевский район.</w:t>
      </w:r>
    </w:p>
    <w:p w:rsidR="00FE3C5C" w:rsidRPr="004B4D12" w:rsidRDefault="00FE3C5C" w:rsidP="00ED1283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19" w:lineRule="atLeast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val="ru-RU" w:eastAsia="ru-RU"/>
        </w:rPr>
      </w:pPr>
      <w:r w:rsidRPr="004B4D12">
        <w:rPr>
          <w:rFonts w:ascii="PT Astra Serif" w:eastAsia="Times New Roman" w:hAnsi="PT Astra Serif" w:cs="Times New Roman"/>
          <w:sz w:val="28"/>
          <w:szCs w:val="28"/>
          <w:lang w:val="ru-RU" w:eastAsia="ru-RU"/>
        </w:rPr>
        <w:t xml:space="preserve">При этом в Павловском районе в </w:t>
      </w:r>
      <w:r w:rsidRPr="004B4D12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IV</w:t>
      </w:r>
      <w:r w:rsidRPr="004B4D12">
        <w:rPr>
          <w:rFonts w:ascii="PT Astra Serif" w:eastAsia="Times New Roman" w:hAnsi="PT Astra Serif" w:cs="Times New Roman"/>
          <w:sz w:val="28"/>
          <w:szCs w:val="28"/>
          <w:lang w:val="ru-RU" w:eastAsia="ru-RU"/>
        </w:rPr>
        <w:t xml:space="preserve"> квартале 2018 года показатель активности обращений превышал средний по области показатель                            на 8 процентов, а общее количество обращений в отчётном периоде уменьшилось в 5,5 раза относительно </w:t>
      </w:r>
      <w:r w:rsidRPr="004B4D12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IV</w:t>
      </w:r>
      <w:r w:rsidRPr="004B4D12">
        <w:rPr>
          <w:rFonts w:ascii="PT Astra Serif" w:eastAsia="Times New Roman" w:hAnsi="PT Astra Serif" w:cs="Times New Roman"/>
          <w:sz w:val="28"/>
          <w:szCs w:val="28"/>
          <w:lang w:val="ru-RU" w:eastAsia="ru-RU"/>
        </w:rPr>
        <w:t xml:space="preserve"> квартала 2018 года (6 против 33).</w:t>
      </w:r>
    </w:p>
    <w:p w:rsidR="00FE3C5C" w:rsidRPr="004B4D12" w:rsidRDefault="00FE3C5C" w:rsidP="00ED1283">
      <w:pPr>
        <w:spacing w:after="0" w:line="19" w:lineRule="atLeast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val="ru-RU"/>
        </w:rPr>
      </w:pPr>
      <w:r w:rsidRPr="004B4D12">
        <w:rPr>
          <w:rFonts w:ascii="PT Astra Serif" w:eastAsia="Times New Roman" w:hAnsi="PT Astra Serif" w:cs="Times New Roman"/>
          <w:sz w:val="28"/>
          <w:szCs w:val="28"/>
          <w:lang w:val="ru-RU"/>
        </w:rPr>
        <w:t xml:space="preserve">В </w:t>
      </w:r>
      <w:r w:rsidRPr="004B4D12">
        <w:rPr>
          <w:rFonts w:ascii="PT Astra Serif" w:eastAsia="Times New Roman" w:hAnsi="PT Astra Serif" w:cs="Times New Roman"/>
          <w:sz w:val="28"/>
          <w:szCs w:val="28"/>
          <w:lang w:val="en-US"/>
        </w:rPr>
        <w:t>IV</w:t>
      </w:r>
      <w:r w:rsidRPr="004B4D12">
        <w:rPr>
          <w:rFonts w:ascii="PT Astra Serif" w:eastAsia="Times New Roman" w:hAnsi="PT Astra Serif" w:cs="Times New Roman"/>
          <w:sz w:val="28"/>
          <w:szCs w:val="28"/>
          <w:lang w:val="ru-RU"/>
        </w:rPr>
        <w:t xml:space="preserve"> квартале 2019 года в Правительство Ульяновской области                          из Управления Президента Российской Федерации по работе                              с обращениями граждан и организаций поступило  597 обращений, это                 на 10 процентов меньше, чем в </w:t>
      </w:r>
      <w:r w:rsidRPr="004B4D12">
        <w:rPr>
          <w:rFonts w:ascii="PT Astra Serif" w:eastAsia="Times New Roman" w:hAnsi="PT Astra Serif" w:cs="Times New Roman"/>
          <w:sz w:val="28"/>
          <w:szCs w:val="28"/>
          <w:lang w:val="en-US"/>
        </w:rPr>
        <w:t>IV</w:t>
      </w:r>
      <w:r w:rsidRPr="004B4D12">
        <w:rPr>
          <w:rFonts w:ascii="PT Astra Serif" w:eastAsia="Times New Roman" w:hAnsi="PT Astra Serif" w:cs="Times New Roman"/>
          <w:sz w:val="28"/>
          <w:szCs w:val="28"/>
          <w:lang w:val="ru-RU"/>
        </w:rPr>
        <w:t xml:space="preserve"> квартале 2017 года (667) и на 6 процентов больше, чем в </w:t>
      </w:r>
      <w:r w:rsidRPr="004B4D12">
        <w:rPr>
          <w:rFonts w:ascii="PT Astra Serif" w:eastAsia="Times New Roman" w:hAnsi="PT Astra Serif" w:cs="Times New Roman"/>
          <w:sz w:val="28"/>
          <w:szCs w:val="28"/>
          <w:lang w:val="en-US"/>
        </w:rPr>
        <w:t>IV</w:t>
      </w:r>
      <w:r w:rsidRPr="004B4D12">
        <w:rPr>
          <w:rFonts w:ascii="PT Astra Serif" w:eastAsia="Times New Roman" w:hAnsi="PT Astra Serif" w:cs="Times New Roman"/>
          <w:sz w:val="28"/>
          <w:szCs w:val="28"/>
          <w:lang w:val="ru-RU"/>
        </w:rPr>
        <w:t xml:space="preserve"> квартале 2018 года (561).</w:t>
      </w:r>
    </w:p>
    <w:p w:rsidR="00FE3C5C" w:rsidRDefault="00FE3C5C" w:rsidP="00ED1283">
      <w:pPr>
        <w:spacing w:after="0" w:line="19" w:lineRule="atLeast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val="ru-RU"/>
        </w:rPr>
      </w:pPr>
    </w:p>
    <w:p w:rsidR="00FE3C5C" w:rsidRDefault="00FE3C5C" w:rsidP="00ED1283">
      <w:pPr>
        <w:shd w:val="clear" w:color="auto" w:fill="365F91" w:themeFill="accent1" w:themeFillShade="BF"/>
        <w:tabs>
          <w:tab w:val="left" w:pos="900"/>
        </w:tabs>
        <w:overflowPunct w:val="0"/>
        <w:autoSpaceDE w:val="0"/>
        <w:autoSpaceDN w:val="0"/>
        <w:adjustRightInd w:val="0"/>
        <w:spacing w:after="0" w:line="19" w:lineRule="atLeast"/>
        <w:jc w:val="center"/>
        <w:textAlignment w:val="baseline"/>
        <w:rPr>
          <w:rFonts w:ascii="PT Astra Serif" w:eastAsia="Times New Roman" w:hAnsi="PT Astra Serif" w:cs="Times New Roman"/>
          <w:b/>
          <w:color w:val="FFFFFF" w:themeColor="background1"/>
          <w:sz w:val="26"/>
          <w:szCs w:val="26"/>
          <w:lang w:val="ru-RU" w:eastAsia="ru-RU"/>
        </w:rPr>
      </w:pPr>
      <w:r w:rsidRPr="00AF39F9">
        <w:rPr>
          <w:rFonts w:ascii="PT Astra Serif" w:eastAsia="Times New Roman" w:hAnsi="PT Astra Serif" w:cs="Times New Roman"/>
          <w:b/>
          <w:color w:val="FFFFFF" w:themeColor="background1"/>
          <w:sz w:val="26"/>
          <w:szCs w:val="26"/>
          <w:lang w:val="ru-RU" w:eastAsia="ru-RU"/>
        </w:rPr>
        <w:t xml:space="preserve">Соотношение количества обращений </w:t>
      </w:r>
    </w:p>
    <w:p w:rsidR="00FE3C5C" w:rsidRDefault="00FE3C5C" w:rsidP="00ED1283">
      <w:pPr>
        <w:shd w:val="clear" w:color="auto" w:fill="365F91" w:themeFill="accent1" w:themeFillShade="BF"/>
        <w:tabs>
          <w:tab w:val="left" w:pos="900"/>
        </w:tabs>
        <w:overflowPunct w:val="0"/>
        <w:autoSpaceDE w:val="0"/>
        <w:autoSpaceDN w:val="0"/>
        <w:adjustRightInd w:val="0"/>
        <w:spacing w:after="0" w:line="19" w:lineRule="atLeast"/>
        <w:jc w:val="center"/>
        <w:textAlignment w:val="baseline"/>
        <w:rPr>
          <w:rFonts w:ascii="PT Astra Serif" w:eastAsia="Times New Roman" w:hAnsi="PT Astra Serif" w:cs="Times New Roman"/>
          <w:b/>
          <w:color w:val="FFFFFF" w:themeColor="background1"/>
          <w:sz w:val="26"/>
          <w:szCs w:val="26"/>
          <w:lang w:val="ru-RU" w:eastAsia="ru-RU"/>
        </w:rPr>
      </w:pPr>
      <w:r w:rsidRPr="00AF39F9">
        <w:rPr>
          <w:rFonts w:ascii="PT Astra Serif" w:eastAsia="Times New Roman" w:hAnsi="PT Astra Serif" w:cs="Times New Roman"/>
          <w:b/>
          <w:color w:val="FFFFFF" w:themeColor="background1"/>
          <w:sz w:val="26"/>
          <w:szCs w:val="26"/>
          <w:lang w:val="ru-RU" w:eastAsia="ru-RU"/>
        </w:rPr>
        <w:t xml:space="preserve">в Администрацию Президента Российской Федерации </w:t>
      </w:r>
    </w:p>
    <w:p w:rsidR="00FE3C5C" w:rsidRDefault="00FE3C5C" w:rsidP="00ED1283">
      <w:pPr>
        <w:shd w:val="clear" w:color="auto" w:fill="365F91" w:themeFill="accent1" w:themeFillShade="BF"/>
        <w:tabs>
          <w:tab w:val="left" w:pos="900"/>
        </w:tabs>
        <w:overflowPunct w:val="0"/>
        <w:autoSpaceDE w:val="0"/>
        <w:autoSpaceDN w:val="0"/>
        <w:adjustRightInd w:val="0"/>
        <w:spacing w:after="0" w:line="19" w:lineRule="atLeast"/>
        <w:jc w:val="center"/>
        <w:textAlignment w:val="baseline"/>
        <w:rPr>
          <w:rFonts w:ascii="PT Astra Serif" w:eastAsia="Times New Roman" w:hAnsi="PT Astra Serif" w:cs="Times New Roman"/>
          <w:b/>
          <w:color w:val="FFFFFF" w:themeColor="background1"/>
          <w:sz w:val="26"/>
          <w:szCs w:val="26"/>
          <w:lang w:val="ru-RU" w:eastAsia="ru-RU"/>
        </w:rPr>
      </w:pPr>
      <w:r w:rsidRPr="00AF39F9">
        <w:rPr>
          <w:rFonts w:ascii="PT Astra Serif" w:eastAsia="Times New Roman" w:hAnsi="PT Astra Serif" w:cs="Times New Roman"/>
          <w:b/>
          <w:color w:val="FFFFFF" w:themeColor="background1"/>
          <w:sz w:val="26"/>
          <w:szCs w:val="26"/>
          <w:lang w:val="ru-RU" w:eastAsia="ru-RU"/>
        </w:rPr>
        <w:t xml:space="preserve">и Правительство Ульяновской области </w:t>
      </w:r>
      <w:r>
        <w:rPr>
          <w:rFonts w:ascii="PT Astra Serif" w:eastAsia="Times New Roman" w:hAnsi="PT Astra Serif" w:cs="Times New Roman"/>
          <w:b/>
          <w:color w:val="FFFFFF" w:themeColor="background1"/>
          <w:sz w:val="26"/>
          <w:szCs w:val="26"/>
          <w:lang w:val="ru-RU" w:eastAsia="ru-RU"/>
        </w:rPr>
        <w:t xml:space="preserve"> в </w:t>
      </w:r>
      <w:r>
        <w:rPr>
          <w:rFonts w:ascii="PT Astra Serif" w:eastAsia="Times New Roman" w:hAnsi="PT Astra Serif" w:cs="Times New Roman"/>
          <w:b/>
          <w:color w:val="FFFFFF" w:themeColor="background1"/>
          <w:sz w:val="26"/>
          <w:szCs w:val="26"/>
          <w:lang w:val="en-US" w:eastAsia="ru-RU"/>
        </w:rPr>
        <w:t>IV</w:t>
      </w:r>
      <w:r>
        <w:rPr>
          <w:rFonts w:ascii="PT Astra Serif" w:eastAsia="Times New Roman" w:hAnsi="PT Astra Serif" w:cs="Times New Roman"/>
          <w:b/>
          <w:color w:val="FFFFFF" w:themeColor="background1"/>
          <w:sz w:val="26"/>
          <w:szCs w:val="26"/>
          <w:lang w:val="ru-RU" w:eastAsia="ru-RU"/>
        </w:rPr>
        <w:t xml:space="preserve"> квартале 2019 года</w:t>
      </w:r>
    </w:p>
    <w:p w:rsidR="00FE3C5C" w:rsidRPr="00AF39F9" w:rsidRDefault="00FE3C5C" w:rsidP="00ED1283">
      <w:pPr>
        <w:shd w:val="clear" w:color="auto" w:fill="365F91" w:themeFill="accent1" w:themeFillShade="BF"/>
        <w:tabs>
          <w:tab w:val="left" w:pos="900"/>
        </w:tabs>
        <w:overflowPunct w:val="0"/>
        <w:autoSpaceDE w:val="0"/>
        <w:autoSpaceDN w:val="0"/>
        <w:adjustRightInd w:val="0"/>
        <w:spacing w:after="0" w:line="19" w:lineRule="atLeast"/>
        <w:jc w:val="center"/>
        <w:textAlignment w:val="baseline"/>
        <w:rPr>
          <w:rFonts w:ascii="PT Astra Serif" w:eastAsia="Times New Roman" w:hAnsi="PT Astra Serif" w:cs="Times New Roman"/>
          <w:b/>
          <w:color w:val="FFFFFF" w:themeColor="background1"/>
          <w:sz w:val="26"/>
          <w:szCs w:val="26"/>
          <w:lang w:val="ru-RU" w:eastAsia="ru-RU"/>
        </w:rPr>
      </w:pPr>
      <w:r>
        <w:rPr>
          <w:rFonts w:ascii="PT Astra Serif" w:eastAsia="Times New Roman" w:hAnsi="PT Astra Serif" w:cs="Times New Roman"/>
          <w:b/>
          <w:color w:val="FFFFFF" w:themeColor="background1"/>
          <w:sz w:val="26"/>
          <w:szCs w:val="26"/>
          <w:lang w:val="ru-RU" w:eastAsia="ru-RU"/>
        </w:rPr>
        <w:t xml:space="preserve"> (в сравнении с аналогичным периодом 2018, 2017 годов)</w:t>
      </w:r>
    </w:p>
    <w:p w:rsidR="00FE3C5C" w:rsidRDefault="00FE3C5C" w:rsidP="00ED1283">
      <w:pPr>
        <w:shd w:val="clear" w:color="auto" w:fill="365F91" w:themeFill="accent1" w:themeFillShade="BF"/>
        <w:tabs>
          <w:tab w:val="left" w:pos="900"/>
        </w:tabs>
        <w:overflowPunct w:val="0"/>
        <w:autoSpaceDE w:val="0"/>
        <w:autoSpaceDN w:val="0"/>
        <w:adjustRightInd w:val="0"/>
        <w:spacing w:after="0" w:line="19" w:lineRule="atLeast"/>
        <w:jc w:val="center"/>
        <w:textAlignment w:val="baseline"/>
        <w:rPr>
          <w:rFonts w:ascii="PT Astra Serif" w:eastAsia="Times New Roman" w:hAnsi="PT Astra Serif" w:cs="Times New Roman"/>
          <w:b/>
          <w:color w:val="FFFFFF" w:themeColor="background1"/>
          <w:sz w:val="26"/>
          <w:szCs w:val="26"/>
          <w:lang w:val="ru-RU" w:eastAsia="ru-RU"/>
        </w:rPr>
      </w:pPr>
    </w:p>
    <w:p w:rsidR="00FE3C5C" w:rsidRDefault="00FE3C5C" w:rsidP="00ED1283">
      <w:pPr>
        <w:spacing w:after="0" w:line="19" w:lineRule="atLeast"/>
        <w:jc w:val="both"/>
        <w:rPr>
          <w:rFonts w:ascii="PT Astra Serif" w:eastAsia="Times New Roman" w:hAnsi="PT Astra Serif" w:cs="Times New Roman"/>
          <w:i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943600" cy="3695700"/>
            <wp:effectExtent l="19050" t="19050" r="19050" b="1905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E3C5C" w:rsidRPr="00572831" w:rsidRDefault="00FE3C5C" w:rsidP="00ED1283">
      <w:pPr>
        <w:spacing w:after="0" w:line="19" w:lineRule="atLeast"/>
        <w:ind w:firstLine="709"/>
        <w:jc w:val="both"/>
        <w:rPr>
          <w:rFonts w:ascii="PT Astra Serif" w:eastAsia="Times New Roman" w:hAnsi="PT Astra Serif" w:cs="Times New Roman"/>
          <w:i/>
          <w:sz w:val="28"/>
          <w:szCs w:val="28"/>
          <w:lang w:val="ru-RU"/>
        </w:rPr>
      </w:pPr>
    </w:p>
    <w:p w:rsidR="00FE3C5C" w:rsidRPr="003B67BB" w:rsidRDefault="00FE3C5C" w:rsidP="00ED1283">
      <w:pPr>
        <w:spacing w:after="0" w:line="19" w:lineRule="atLeast"/>
        <w:jc w:val="center"/>
        <w:rPr>
          <w:rFonts w:ascii="PT Astra Serif" w:eastAsia="Times New Roman" w:hAnsi="PT Astra Serif" w:cs="Times New Roman"/>
          <w:b/>
          <w:i/>
          <w:color w:val="0070C0"/>
          <w:sz w:val="28"/>
          <w:szCs w:val="20"/>
          <w:lang w:val="ru-RU" w:eastAsia="ru-RU"/>
        </w:rPr>
      </w:pPr>
      <w:r w:rsidRPr="003B67BB">
        <w:rPr>
          <w:rFonts w:ascii="PT Astra Serif" w:eastAsia="Times New Roman" w:hAnsi="PT Astra Serif" w:cs="Times New Roman"/>
          <w:b/>
          <w:i/>
          <w:color w:val="0070C0"/>
          <w:sz w:val="28"/>
          <w:szCs w:val="20"/>
          <w:lang w:val="ru-RU" w:eastAsia="ru-RU"/>
        </w:rPr>
        <w:t>Диаграмма 4</w:t>
      </w:r>
    </w:p>
    <w:p w:rsidR="00FE3C5C" w:rsidRPr="00572831" w:rsidRDefault="00FE3C5C" w:rsidP="00ED1283">
      <w:pPr>
        <w:spacing w:after="0" w:line="19" w:lineRule="atLeast"/>
        <w:jc w:val="center"/>
        <w:rPr>
          <w:rFonts w:ascii="PT Astra Serif" w:eastAsia="Times New Roman" w:hAnsi="PT Astra Serif" w:cs="Times New Roman"/>
          <w:i/>
          <w:sz w:val="28"/>
          <w:szCs w:val="28"/>
          <w:lang w:val="ru-RU"/>
        </w:rPr>
      </w:pPr>
    </w:p>
    <w:p w:rsidR="00FE3C5C" w:rsidRPr="004B4D12" w:rsidRDefault="00FE3C5C" w:rsidP="00ED1283">
      <w:pPr>
        <w:spacing w:after="0" w:line="19" w:lineRule="atLeast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val="ru-RU"/>
        </w:rPr>
      </w:pPr>
      <w:r w:rsidRPr="004B4D12">
        <w:rPr>
          <w:rFonts w:ascii="PT Astra Serif" w:eastAsia="Times New Roman" w:hAnsi="PT Astra Serif" w:cs="Times New Roman"/>
          <w:sz w:val="28"/>
          <w:szCs w:val="28"/>
          <w:lang w:val="ru-RU"/>
        </w:rPr>
        <w:t xml:space="preserve">Средний по Ульяновской области показатель активности обращений, адресованных Президенту Российской Федерации, в расчёте на 10 тысяч населения составил 4,8, это на 11 процентов ниже среднеобластного показателя за  аналогичный период 2017 года (5,4) и на 6 процентов выше среднеобластного показателя за аналогичный период 2018 года (4,5). </w:t>
      </w:r>
    </w:p>
    <w:p w:rsidR="0082694E" w:rsidRPr="004B4D12" w:rsidRDefault="00FE3C5C" w:rsidP="00ED1283">
      <w:pPr>
        <w:spacing w:after="0" w:line="19" w:lineRule="atLeast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val="ru-RU"/>
        </w:rPr>
      </w:pPr>
      <w:r w:rsidRPr="004B4D12">
        <w:rPr>
          <w:rFonts w:ascii="PT Astra Serif" w:eastAsia="Times New Roman" w:hAnsi="PT Astra Serif" w:cs="Times New Roman"/>
          <w:sz w:val="28"/>
          <w:szCs w:val="28"/>
          <w:lang w:val="ru-RU"/>
        </w:rPr>
        <w:t xml:space="preserve">Доля обращений, поступивших за анализируемый период                                        из Администрации Президента Российской Федерации и перенаправленных для рассмотрения по компетенции в Правительство Ульяновской области, составила 19 процентов от общего объёма корреспонденции                                        в Правительство Ульяновской области  (3184 обращения), что соответствует доле обращений за </w:t>
      </w:r>
      <w:r w:rsidRPr="004B4D12">
        <w:rPr>
          <w:rFonts w:ascii="PT Astra Serif" w:eastAsia="Times New Roman" w:hAnsi="PT Astra Serif" w:cs="Times New Roman"/>
          <w:sz w:val="28"/>
          <w:szCs w:val="28"/>
          <w:lang w:val="en-US"/>
        </w:rPr>
        <w:t>IV</w:t>
      </w:r>
      <w:r w:rsidRPr="004B4D12">
        <w:rPr>
          <w:rFonts w:ascii="PT Astra Serif" w:eastAsia="Times New Roman" w:hAnsi="PT Astra Serif" w:cs="Times New Roman"/>
          <w:sz w:val="28"/>
          <w:szCs w:val="28"/>
          <w:lang w:val="ru-RU"/>
        </w:rPr>
        <w:t xml:space="preserve"> квартал 2017 года (667 от 3535) и на 1 процент ниже доли обращений за </w:t>
      </w:r>
      <w:r w:rsidRPr="004B4D12">
        <w:rPr>
          <w:rFonts w:ascii="PT Astra Serif" w:eastAsia="Times New Roman" w:hAnsi="PT Astra Serif" w:cs="Times New Roman"/>
          <w:sz w:val="28"/>
          <w:szCs w:val="28"/>
          <w:lang w:val="en-US"/>
        </w:rPr>
        <w:t>IV</w:t>
      </w:r>
      <w:r w:rsidRPr="004B4D12">
        <w:rPr>
          <w:rFonts w:ascii="PT Astra Serif" w:eastAsia="Times New Roman" w:hAnsi="PT Astra Serif" w:cs="Times New Roman"/>
          <w:sz w:val="28"/>
          <w:szCs w:val="28"/>
          <w:lang w:val="ru-RU"/>
        </w:rPr>
        <w:t xml:space="preserve"> квартал 2018 года (20 процентов, 561 от 2863).</w:t>
      </w:r>
    </w:p>
    <w:p w:rsidR="00FE3C5C" w:rsidRPr="004B4D12" w:rsidRDefault="00FE3C5C" w:rsidP="00ED1283">
      <w:pPr>
        <w:spacing w:after="0" w:line="19" w:lineRule="atLeast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val="ru-RU" w:eastAsia="ar-SA"/>
        </w:rPr>
      </w:pPr>
      <w:r w:rsidRPr="004B4D12">
        <w:rPr>
          <w:rFonts w:ascii="PT Astra Serif" w:eastAsia="Times New Roman" w:hAnsi="PT Astra Serif" w:cs="Times New Roman"/>
          <w:sz w:val="28"/>
          <w:szCs w:val="28"/>
          <w:lang w:val="ru-RU" w:eastAsia="ar-SA"/>
        </w:rPr>
        <w:t xml:space="preserve">Мониторинг </w:t>
      </w:r>
      <w:r w:rsidRPr="004B4D12">
        <w:rPr>
          <w:rFonts w:ascii="PT Astra Serif" w:eastAsia="Times New Roman" w:hAnsi="PT Astra Serif" w:cs="Times New Roman"/>
          <w:sz w:val="28"/>
          <w:szCs w:val="28"/>
          <w:lang w:val="ru-RU"/>
        </w:rPr>
        <w:t>тематических предпочтений</w:t>
      </w:r>
      <w:r w:rsidRPr="004B4D12">
        <w:rPr>
          <w:rFonts w:ascii="PT Astra Serif" w:eastAsia="Times New Roman" w:hAnsi="PT Astra Serif" w:cs="Times New Roman"/>
          <w:sz w:val="28"/>
          <w:szCs w:val="28"/>
          <w:lang w:val="ru-RU" w:eastAsia="ar-SA"/>
        </w:rPr>
        <w:t xml:space="preserve"> населения Ульяновской области, раскрытых в обращениях, направленных в отчётном периоде                        в Правительство Ульяновской области, позволил выстроить следующий рейтинг.</w:t>
      </w:r>
    </w:p>
    <w:p w:rsidR="00FE3C5C" w:rsidRPr="004B4D12" w:rsidRDefault="00FE3C5C" w:rsidP="00ED1283">
      <w:pPr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val="ru-RU" w:eastAsia="ar-SA"/>
        </w:rPr>
      </w:pPr>
      <w:r w:rsidRPr="004B4D12">
        <w:rPr>
          <w:rFonts w:ascii="PT Astra Serif" w:eastAsia="Times New Roman" w:hAnsi="PT Astra Serif" w:cs="Times New Roman"/>
          <w:sz w:val="28"/>
          <w:szCs w:val="28"/>
          <w:lang w:val="ru-RU" w:eastAsia="ar-SA"/>
        </w:rPr>
        <w:t>Первые шесть позиций в соответствии  с приоритетностью занимают следующие темы: «Жилище» (22 процента, 796 вопросов), «Хозяйственная деятельность» (21 процент, 760 вопросов), «Социальное обеспечение                     и социальное страхование» (11,9 процента, 427 вопросов), «Природные ресурсы и охрана окружающей среды» (11,5 процента, 416 вопросов), «Здравоохранение. Физическая культура и спорт. Туризм» (9 процентов,                 332 вопроса), «Основы государственного управления» (7 процентов,                      260 вопросов), «Образование. Наука. Культура» (6 процентов, 219 вопросов) и другие.</w:t>
      </w:r>
    </w:p>
    <w:p w:rsidR="00FE3C5C" w:rsidRDefault="00FE3C5C" w:rsidP="00ED1283">
      <w:pPr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PT Astra Serif" w:eastAsia="Times New Roman" w:hAnsi="PT Astra Serif" w:cs="Times New Roman"/>
          <w:color w:val="FFFFFF" w:themeColor="background1"/>
          <w:sz w:val="28"/>
          <w:szCs w:val="28"/>
          <w:lang w:val="ru-RU" w:eastAsia="ar-SA"/>
        </w:rPr>
      </w:pPr>
      <w:r w:rsidRPr="00572831">
        <w:rPr>
          <w:rFonts w:ascii="PT Astra Serif" w:eastAsia="Times New Roman" w:hAnsi="PT Astra Serif" w:cs="Times New Roman"/>
          <w:color w:val="FFFFFF" w:themeColor="background1"/>
          <w:sz w:val="28"/>
          <w:szCs w:val="28"/>
          <w:lang w:val="ru-RU" w:eastAsia="ar-SA"/>
        </w:rPr>
        <w:t>(</w:t>
      </w:r>
      <w:r>
        <w:rPr>
          <w:noProof/>
          <w:lang w:val="ru-RU" w:eastAsia="ru-RU"/>
        </w:rPr>
        <w:drawing>
          <wp:inline distT="0" distB="0" distL="0" distR="0">
            <wp:extent cx="5943600" cy="3971925"/>
            <wp:effectExtent l="19050" t="1905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E3C5C" w:rsidRDefault="00FE3C5C" w:rsidP="00ED1283">
      <w:pPr>
        <w:autoSpaceDE w:val="0"/>
        <w:autoSpaceDN w:val="0"/>
        <w:adjustRightInd w:val="0"/>
        <w:spacing w:after="0" w:line="19" w:lineRule="atLeast"/>
        <w:jc w:val="center"/>
        <w:rPr>
          <w:rFonts w:ascii="PT Astra Serif" w:eastAsia="Times New Roman" w:hAnsi="PT Astra Serif" w:cs="Times New Roman"/>
          <w:b/>
          <w:i/>
          <w:color w:val="365F91" w:themeColor="accent1" w:themeShade="BF"/>
          <w:sz w:val="28"/>
          <w:szCs w:val="28"/>
          <w:lang w:val="ru-RU" w:eastAsia="ar-SA"/>
        </w:rPr>
      </w:pPr>
      <w:r w:rsidRPr="00572831">
        <w:rPr>
          <w:rFonts w:ascii="PT Astra Serif" w:eastAsia="Times New Roman" w:hAnsi="PT Astra Serif" w:cs="Times New Roman"/>
          <w:b/>
          <w:i/>
          <w:color w:val="365F91" w:themeColor="accent1" w:themeShade="BF"/>
          <w:sz w:val="28"/>
          <w:szCs w:val="28"/>
          <w:lang w:val="ru-RU" w:eastAsia="ar-SA"/>
        </w:rPr>
        <w:t xml:space="preserve">Диаграмма </w:t>
      </w:r>
      <w:r>
        <w:rPr>
          <w:rFonts w:ascii="PT Astra Serif" w:eastAsia="Times New Roman" w:hAnsi="PT Astra Serif" w:cs="Times New Roman"/>
          <w:b/>
          <w:i/>
          <w:color w:val="365F91" w:themeColor="accent1" w:themeShade="BF"/>
          <w:sz w:val="28"/>
          <w:szCs w:val="28"/>
          <w:lang w:val="ru-RU" w:eastAsia="ar-SA"/>
        </w:rPr>
        <w:t>5</w:t>
      </w:r>
    </w:p>
    <w:p w:rsidR="00FE3C5C" w:rsidRPr="00572831" w:rsidRDefault="00FE3C5C" w:rsidP="00ED1283">
      <w:pPr>
        <w:shd w:val="clear" w:color="auto" w:fill="FFFFFF" w:themeFill="background1"/>
        <w:autoSpaceDE w:val="0"/>
        <w:autoSpaceDN w:val="0"/>
        <w:adjustRightInd w:val="0"/>
        <w:spacing w:after="0" w:line="19" w:lineRule="atLeast"/>
        <w:jc w:val="center"/>
        <w:rPr>
          <w:rFonts w:ascii="PT Astra Serif" w:eastAsia="Times New Roman" w:hAnsi="PT Astra Serif" w:cs="Times New Roman"/>
          <w:b/>
          <w:i/>
          <w:color w:val="365F91" w:themeColor="accent1" w:themeShade="BF"/>
          <w:sz w:val="28"/>
          <w:szCs w:val="28"/>
          <w:lang w:val="ru-RU" w:eastAsia="ar-SA"/>
        </w:rPr>
      </w:pPr>
    </w:p>
    <w:p w:rsidR="00FE3C5C" w:rsidRPr="004B4D12" w:rsidRDefault="00FE3C5C" w:rsidP="00ED1283">
      <w:pPr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val="ru-RU" w:eastAsia="ar-SA"/>
        </w:rPr>
      </w:pPr>
      <w:r w:rsidRPr="004B4D12">
        <w:rPr>
          <w:rFonts w:ascii="PT Astra Serif" w:eastAsia="Times New Roman" w:hAnsi="PT Astra Serif" w:cs="Times New Roman"/>
          <w:sz w:val="28"/>
          <w:szCs w:val="28"/>
          <w:lang w:val="ru-RU" w:eastAsia="ar-SA"/>
        </w:rPr>
        <w:t>В обзорном периоде на 1-м месте</w:t>
      </w:r>
      <w:r w:rsidR="004B4D12" w:rsidRPr="004B4D12">
        <w:rPr>
          <w:rFonts w:ascii="PT Astra Serif" w:eastAsia="Times New Roman" w:hAnsi="PT Astra Serif" w:cs="Times New Roman"/>
          <w:sz w:val="28"/>
          <w:szCs w:val="28"/>
          <w:lang w:val="ru-RU" w:eastAsia="ar-SA"/>
        </w:rPr>
        <w:t xml:space="preserve"> (с незначительным отрывом)                        </w:t>
      </w:r>
      <w:r w:rsidRPr="004B4D12">
        <w:rPr>
          <w:rFonts w:ascii="PT Astra Serif" w:eastAsia="Times New Roman" w:hAnsi="PT Astra Serif" w:cs="Times New Roman"/>
          <w:sz w:val="28"/>
          <w:szCs w:val="28"/>
          <w:lang w:val="ru-RU" w:eastAsia="ar-SA"/>
        </w:rPr>
        <w:t xml:space="preserve"> в тематическом рейтинге в разделе «Жилище» лидировали следующие вопросы:</w:t>
      </w:r>
    </w:p>
    <w:p w:rsidR="00FE3C5C" w:rsidRPr="004B4D12" w:rsidRDefault="00FE3C5C" w:rsidP="00ED1283">
      <w:pPr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val="ru-RU" w:eastAsia="ar-SA"/>
        </w:rPr>
      </w:pPr>
      <w:r w:rsidRPr="004B4D12">
        <w:rPr>
          <w:rFonts w:ascii="PT Astra Serif" w:eastAsia="Times New Roman" w:hAnsi="PT Astra Serif" w:cs="Times New Roman"/>
          <w:sz w:val="28"/>
          <w:szCs w:val="28"/>
          <w:lang w:val="ru-RU" w:eastAsia="ar-SA"/>
        </w:rPr>
        <w:t>содержание общего имущества МКД (4,1 процента, 146 вопросов),                          с которыми в основном обращались жители городов Ульяновска, Димитровграда, а также Тереньгульского и Чердаклинского районов), общее число которых увеличилось в 1,2 раза по сравнению с аналогичным периодом 2018 года (125);</w:t>
      </w:r>
    </w:p>
    <w:p w:rsidR="00FE3C5C" w:rsidRPr="004B4D12" w:rsidRDefault="00FE3C5C" w:rsidP="00ED1283">
      <w:pPr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val="ru-RU" w:eastAsia="ar-SA"/>
        </w:rPr>
      </w:pPr>
      <w:r w:rsidRPr="004B4D12">
        <w:rPr>
          <w:rFonts w:ascii="PT Astra Serif" w:eastAsia="Times New Roman" w:hAnsi="PT Astra Serif" w:cs="Times New Roman"/>
          <w:sz w:val="28"/>
          <w:szCs w:val="28"/>
          <w:lang w:val="ru-RU" w:eastAsia="ar-SA"/>
        </w:rPr>
        <w:t>улучшение жилищных условий (1,4 процента, 45 вопросов, которые больше всего волновали жителей города Ульяновска, а также Барышского, Инзенского, Карсунского, Кузоватовского, Майнского, Тереньгульского                    и Ульяновского районов, при этом общее количество вопросов сократилось  в 1,2 раза относительно аналогичного периода 2017 года (45);</w:t>
      </w:r>
    </w:p>
    <w:p w:rsidR="00FE3C5C" w:rsidRPr="004B4D12" w:rsidRDefault="00FE3C5C" w:rsidP="00ED1283">
      <w:pPr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val="ru-RU" w:eastAsia="ar-SA"/>
        </w:rPr>
      </w:pPr>
      <w:r w:rsidRPr="004B4D12">
        <w:rPr>
          <w:rFonts w:ascii="PT Astra Serif" w:eastAsia="Times New Roman" w:hAnsi="PT Astra Serif" w:cs="Times New Roman"/>
          <w:sz w:val="28"/>
          <w:szCs w:val="28"/>
          <w:lang w:val="ru-RU" w:eastAsia="ar-SA"/>
        </w:rPr>
        <w:t xml:space="preserve">управляющие организации, товарищества собственников жилья               и иные формы управления собственностью (1,3 процента, 47 вопросов,               которые чаще других ставили в своих обращениях жители города Ульяновска, а также Радищевского и Сенгилеевского районов, вместе с тем их общее число уменьшилось в 1,2 раза по сравнению с </w:t>
      </w:r>
      <w:r w:rsidRPr="004B4D12">
        <w:rPr>
          <w:rFonts w:ascii="PT Astra Serif" w:eastAsia="Times New Roman" w:hAnsi="PT Astra Serif" w:cs="Times New Roman"/>
          <w:sz w:val="28"/>
          <w:szCs w:val="28"/>
          <w:lang w:val="en-US" w:eastAsia="ar-SA"/>
        </w:rPr>
        <w:t>IV</w:t>
      </w:r>
      <w:r w:rsidRPr="004B4D12">
        <w:rPr>
          <w:rFonts w:ascii="PT Astra Serif" w:eastAsia="Times New Roman" w:hAnsi="PT Astra Serif" w:cs="Times New Roman"/>
          <w:sz w:val="28"/>
          <w:szCs w:val="28"/>
          <w:lang w:val="ru-RU" w:eastAsia="ar-SA"/>
        </w:rPr>
        <w:t xml:space="preserve"> кварталом                 2018 года (58).</w:t>
      </w:r>
    </w:p>
    <w:p w:rsidR="00FE3C5C" w:rsidRPr="004B4D12" w:rsidRDefault="00FE3C5C" w:rsidP="00ED1283">
      <w:pPr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val="ru-RU" w:eastAsia="ar-SA"/>
        </w:rPr>
      </w:pPr>
      <w:r w:rsidRPr="004B4D12">
        <w:rPr>
          <w:rFonts w:ascii="PT Astra Serif" w:eastAsia="Times New Roman" w:hAnsi="PT Astra Serif" w:cs="Times New Roman"/>
          <w:sz w:val="28"/>
          <w:szCs w:val="28"/>
          <w:lang w:val="ru-RU" w:eastAsia="ar-SA"/>
        </w:rPr>
        <w:t>На 2-м месте в тематическом рейтинге в разделе «Хозяйственная деятельность» преобладали следующие вопросы:</w:t>
      </w:r>
    </w:p>
    <w:p w:rsidR="00FE3C5C" w:rsidRPr="004B4D12" w:rsidRDefault="00FE3C5C" w:rsidP="00ED1283">
      <w:pPr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val="ru-RU" w:eastAsia="ar-SA"/>
        </w:rPr>
      </w:pPr>
      <w:r w:rsidRPr="004B4D12">
        <w:rPr>
          <w:rFonts w:ascii="PT Astra Serif" w:eastAsia="Times New Roman" w:hAnsi="PT Astra Serif" w:cs="Times New Roman"/>
          <w:sz w:val="28"/>
          <w:szCs w:val="28"/>
          <w:lang w:val="ru-RU" w:eastAsia="ar-SA"/>
        </w:rPr>
        <w:t>уличное освещение (2,2 процента, 79 вопросов). Повышенный интерес к данной тематике проявляли жители городов Ульяновска, Димитровграда,              а также Барышского, Майнского, Сурского и Ульяновского районов. Причем общее количество этих вопросов увеличилось почти в 8 раз относительно аналогичного периода 2017 года (19) и в 1,6 раза относительно аналогичного периода 2018 года (48);</w:t>
      </w:r>
    </w:p>
    <w:p w:rsidR="00FE3C5C" w:rsidRPr="004B4D12" w:rsidRDefault="00FE3C5C" w:rsidP="00ED1283">
      <w:pPr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val="ru-RU" w:eastAsia="ar-SA"/>
        </w:rPr>
      </w:pPr>
      <w:r w:rsidRPr="004B4D12">
        <w:rPr>
          <w:rFonts w:ascii="PT Astra Serif" w:eastAsia="Times New Roman" w:hAnsi="PT Astra Serif" w:cs="Times New Roman"/>
          <w:sz w:val="28"/>
          <w:szCs w:val="28"/>
          <w:lang w:val="ru-RU" w:eastAsia="ar-SA"/>
        </w:rPr>
        <w:t xml:space="preserve">строительство и реконструкция дорог  (1,9 процента, 70 вопросов). Проблемы в основном звучали в обращениях, поступивших от жителей  городов Ульяновска и Димитровграда, а также Кузоватовского, Майнского, Сурского и Ульяновского районов. Общее число таких вопросов увеличилось в 2 раза относительно </w:t>
      </w:r>
      <w:r w:rsidRPr="004B4D12">
        <w:rPr>
          <w:rFonts w:ascii="PT Astra Serif" w:eastAsia="Times New Roman" w:hAnsi="PT Astra Serif" w:cs="Times New Roman"/>
          <w:sz w:val="28"/>
          <w:szCs w:val="28"/>
          <w:lang w:val="en-US" w:eastAsia="ar-SA"/>
        </w:rPr>
        <w:t>IV</w:t>
      </w:r>
      <w:r w:rsidRPr="004B4D12">
        <w:rPr>
          <w:rFonts w:ascii="PT Astra Serif" w:eastAsia="Times New Roman" w:hAnsi="PT Astra Serif" w:cs="Times New Roman"/>
          <w:sz w:val="28"/>
          <w:szCs w:val="28"/>
          <w:lang w:val="ru-RU" w:eastAsia="ar-SA"/>
        </w:rPr>
        <w:t xml:space="preserve"> квартала 2018 года (34) и одновременно уменьшилось в 1,3 раза относительно </w:t>
      </w:r>
      <w:r w:rsidRPr="004B4D12">
        <w:rPr>
          <w:rFonts w:ascii="PT Astra Serif" w:eastAsia="Times New Roman" w:hAnsi="PT Astra Serif" w:cs="Times New Roman"/>
          <w:sz w:val="28"/>
          <w:szCs w:val="28"/>
          <w:lang w:val="en-US" w:eastAsia="ar-SA"/>
        </w:rPr>
        <w:t>IV</w:t>
      </w:r>
      <w:r w:rsidRPr="004B4D12">
        <w:rPr>
          <w:rFonts w:ascii="PT Astra Serif" w:eastAsia="Times New Roman" w:hAnsi="PT Astra Serif" w:cs="Times New Roman"/>
          <w:sz w:val="28"/>
          <w:szCs w:val="28"/>
          <w:lang w:val="ru-RU" w:eastAsia="ar-SA"/>
        </w:rPr>
        <w:t xml:space="preserve"> квартала 2017 года (94);</w:t>
      </w:r>
    </w:p>
    <w:p w:rsidR="00FE3C5C" w:rsidRPr="004B4D12" w:rsidRDefault="00FE3C5C" w:rsidP="00ED1283">
      <w:pPr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val="ru-RU" w:eastAsia="ar-SA"/>
        </w:rPr>
      </w:pPr>
      <w:r w:rsidRPr="004B4D12">
        <w:rPr>
          <w:rFonts w:ascii="PT Astra Serif" w:eastAsia="Times New Roman" w:hAnsi="PT Astra Serif" w:cs="Times New Roman"/>
          <w:sz w:val="28"/>
          <w:szCs w:val="28"/>
          <w:lang w:val="ru-RU" w:eastAsia="ar-SA"/>
        </w:rPr>
        <w:t>комплексное благоустройство (1,3 процента, 48 вопросов,                             с которыми в основном обращались жители города Ульяновска, а также Майнского, Мелекесского, Сенгилеевского и Ульяновского районов, хотя общее число таких вопросов сократилось в 1,3 раза по сравнению                             с аналогичным периодом 2018 года (61);</w:t>
      </w:r>
    </w:p>
    <w:p w:rsidR="00FE3C5C" w:rsidRPr="004B4D12" w:rsidRDefault="00FE3C5C" w:rsidP="00ED1283">
      <w:pPr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val="ru-RU" w:eastAsia="ar-SA"/>
        </w:rPr>
      </w:pPr>
      <w:r w:rsidRPr="004B4D12">
        <w:rPr>
          <w:rFonts w:ascii="PT Astra Serif" w:eastAsia="Times New Roman" w:hAnsi="PT Astra Serif" w:cs="Times New Roman"/>
          <w:sz w:val="28"/>
          <w:szCs w:val="28"/>
          <w:lang w:val="ru-RU" w:eastAsia="ar-SA"/>
        </w:rPr>
        <w:t>государственный контроль и надзор в области долевого строительства (1,4 процента, 46 вопросов, поступивших преимущественно от жителей города Ульяновска, а также Сенгилеевского района).</w:t>
      </w:r>
    </w:p>
    <w:p w:rsidR="00FE3C5C" w:rsidRPr="004B4D12" w:rsidRDefault="00FE3C5C" w:rsidP="00ED1283">
      <w:pPr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val="ru-RU" w:eastAsia="ar-SA"/>
        </w:rPr>
      </w:pPr>
      <w:r w:rsidRPr="004B4D12">
        <w:rPr>
          <w:rFonts w:ascii="PT Astra Serif" w:eastAsia="Times New Roman" w:hAnsi="PT Astra Serif" w:cs="Times New Roman"/>
          <w:sz w:val="28"/>
          <w:szCs w:val="28"/>
          <w:lang w:val="ru-RU" w:eastAsia="ar-SA"/>
        </w:rPr>
        <w:t>На 3-й позиции в тематическом рейтинге в разделе «Социальное обеспечение. Социальное страхование» главенствовали вопросы:</w:t>
      </w:r>
    </w:p>
    <w:p w:rsidR="00FE3C5C" w:rsidRPr="004B4D12" w:rsidRDefault="00FE3C5C" w:rsidP="00ED1283">
      <w:pPr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val="ru-RU" w:eastAsia="ar-SA"/>
        </w:rPr>
      </w:pPr>
      <w:r w:rsidRPr="004B4D12">
        <w:rPr>
          <w:rFonts w:ascii="PT Astra Serif" w:eastAsia="Times New Roman" w:hAnsi="PT Astra Serif" w:cs="Times New Roman"/>
          <w:sz w:val="28"/>
          <w:szCs w:val="28"/>
          <w:lang w:val="ru-RU" w:eastAsia="ar-SA"/>
        </w:rPr>
        <w:t>о социальной поддержке  и помощи семьям, имеющим детей, в том числе многодетным (3,7 процента, 134 вопроса, полученных главным образом от жителей городов Ульяновска, Димитровграда, а также Барышского, Инзенского, Карсунского, Мелекесского, Ульяновского                        и Чердаклинского районов), при этом общее количество вопросов увеличилось на 8 процентов относительно аналогичного периода 2018 года (123);</w:t>
      </w:r>
    </w:p>
    <w:p w:rsidR="00FE3C5C" w:rsidRPr="004B4D12" w:rsidRDefault="00FE3C5C" w:rsidP="00ED1283">
      <w:pPr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val="ru-RU" w:eastAsia="ar-SA"/>
        </w:rPr>
      </w:pPr>
      <w:r w:rsidRPr="004B4D12">
        <w:rPr>
          <w:rFonts w:ascii="PT Astra Serif" w:eastAsia="Times New Roman" w:hAnsi="PT Astra Serif" w:cs="Times New Roman"/>
          <w:sz w:val="28"/>
          <w:szCs w:val="28"/>
          <w:lang w:val="ru-RU" w:eastAsia="ar-SA"/>
        </w:rPr>
        <w:t>об оказании финансовой помощи (2,7 процента, 87 вопросов, поступивших преимущественно от жителей городов Ульяновска, Димитровграда, а также Барышского, Карсунского, Старокулаткинского, Цильнинского районов), общее число таких вопросов не претерпело изменений сравнительно такого же периода 2018 года;</w:t>
      </w:r>
    </w:p>
    <w:p w:rsidR="00FE3C5C" w:rsidRPr="004B4D12" w:rsidRDefault="00FE3C5C" w:rsidP="00ED1283">
      <w:pPr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val="ru-RU" w:eastAsia="ar-SA"/>
        </w:rPr>
      </w:pPr>
      <w:r w:rsidRPr="004B4D12">
        <w:rPr>
          <w:rFonts w:ascii="PT Astra Serif" w:eastAsia="Times New Roman" w:hAnsi="PT Astra Serif" w:cs="Times New Roman"/>
          <w:sz w:val="28"/>
          <w:szCs w:val="28"/>
          <w:lang w:val="ru-RU" w:eastAsia="ar-SA"/>
        </w:rPr>
        <w:t>об исчислении и выплате пособий гражданам, имеющим детей                 (0,8 процента, 28 вопросов, представлявших повышенный интерес для жителей городов Ульяновска, Димитровграда, а также Карсунского, Кузоватовского и Ульяновского районов), причём их количество возросло               в 2,3 раза относительно аналогичного периода прошлого года (12).</w:t>
      </w:r>
    </w:p>
    <w:p w:rsidR="00FE3C5C" w:rsidRPr="004B4D12" w:rsidRDefault="00FE3C5C" w:rsidP="00ED1283">
      <w:pPr>
        <w:tabs>
          <w:tab w:val="left" w:pos="2250"/>
        </w:tabs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val="ru-RU" w:eastAsia="ar-SA"/>
        </w:rPr>
      </w:pPr>
      <w:r w:rsidRPr="004B4D12">
        <w:rPr>
          <w:rFonts w:ascii="PT Astra Serif" w:eastAsia="Times New Roman" w:hAnsi="PT Astra Serif" w:cs="Times New Roman"/>
          <w:sz w:val="28"/>
          <w:szCs w:val="28"/>
          <w:lang w:val="ru-RU" w:eastAsia="ar-SA"/>
        </w:rPr>
        <w:t xml:space="preserve">На </w:t>
      </w:r>
      <w:r w:rsidR="002E4D66">
        <w:rPr>
          <w:rFonts w:ascii="PT Astra Serif" w:eastAsia="Times New Roman" w:hAnsi="PT Astra Serif" w:cs="Times New Roman"/>
          <w:sz w:val="28"/>
          <w:szCs w:val="28"/>
          <w:lang w:val="ru-RU" w:eastAsia="ar-SA"/>
        </w:rPr>
        <w:t>4</w:t>
      </w:r>
      <w:r w:rsidRPr="004B4D12">
        <w:rPr>
          <w:rFonts w:ascii="PT Astra Serif" w:eastAsia="Times New Roman" w:hAnsi="PT Astra Serif" w:cs="Times New Roman"/>
          <w:sz w:val="28"/>
          <w:szCs w:val="28"/>
          <w:lang w:val="ru-RU" w:eastAsia="ar-SA"/>
        </w:rPr>
        <w:t>-м месте тематического рейтинга в разделе «Здравоохранение. Физическая культура и спорт. Туризм» наиболее актуальными, по мнению жителей Ульяновской области, являлись следующие вопросы:</w:t>
      </w:r>
    </w:p>
    <w:p w:rsidR="00FE3C5C" w:rsidRPr="004B4D12" w:rsidRDefault="00FE3C5C" w:rsidP="00ED1283">
      <w:pPr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val="ru-RU" w:eastAsia="ar-SA"/>
        </w:rPr>
      </w:pPr>
      <w:r w:rsidRPr="004B4D12">
        <w:rPr>
          <w:rFonts w:ascii="PT Astra Serif" w:eastAsia="Times New Roman" w:hAnsi="PT Astra Serif" w:cs="Times New Roman"/>
          <w:sz w:val="28"/>
          <w:szCs w:val="28"/>
          <w:lang w:val="ru-RU" w:eastAsia="ar-SA"/>
        </w:rPr>
        <w:t xml:space="preserve"> лекарственное обеспечение льготных категорий граждан                       (2,1 процента, 74 вопроса). </w:t>
      </w:r>
      <w:r w:rsidR="002E4D66">
        <w:rPr>
          <w:rFonts w:ascii="PT Astra Serif" w:eastAsia="Times New Roman" w:hAnsi="PT Astra Serif" w:cs="Times New Roman"/>
          <w:sz w:val="28"/>
          <w:szCs w:val="28"/>
          <w:lang w:val="ru-RU" w:eastAsia="ar-SA"/>
        </w:rPr>
        <w:t>О</w:t>
      </w:r>
      <w:r w:rsidRPr="004B4D12">
        <w:rPr>
          <w:rFonts w:ascii="PT Astra Serif" w:eastAsia="Times New Roman" w:hAnsi="PT Astra Serif" w:cs="Times New Roman"/>
          <w:sz w:val="28"/>
          <w:szCs w:val="28"/>
          <w:lang w:val="ru-RU" w:eastAsia="ar-SA"/>
        </w:rPr>
        <w:t>бщее количество таких вопросов уменьшилось в 1,4 раза относительно аналогичного периода 2018 года (104) и в 1,3 раза относительно того же периода 2017 года (97);</w:t>
      </w:r>
    </w:p>
    <w:p w:rsidR="00FE3C5C" w:rsidRPr="004B4D12" w:rsidRDefault="00FE3C5C" w:rsidP="00ED1283">
      <w:pPr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val="ru-RU" w:eastAsia="ar-SA"/>
        </w:rPr>
      </w:pPr>
      <w:r w:rsidRPr="004B4D12">
        <w:rPr>
          <w:rFonts w:ascii="PT Astra Serif" w:eastAsia="Times New Roman" w:hAnsi="PT Astra Serif" w:cs="Times New Roman"/>
          <w:sz w:val="28"/>
          <w:szCs w:val="28"/>
          <w:lang w:val="ru-RU" w:eastAsia="ar-SA"/>
        </w:rPr>
        <w:t xml:space="preserve">лечение и оказание медицинской помощи (1,2 процента, 44 вопроса, полученных главным образом от жителей городов Ульяновска                                   и Димитровграда, а также Инзенского, Карсунского и Ульяновского районов. Общее число таких вопросов сократилось в 1,3 раза по сравнению                                 с </w:t>
      </w:r>
      <w:r w:rsidRPr="004B4D12">
        <w:rPr>
          <w:rFonts w:ascii="PT Astra Serif" w:eastAsia="Times New Roman" w:hAnsi="PT Astra Serif" w:cs="Times New Roman"/>
          <w:sz w:val="28"/>
          <w:szCs w:val="28"/>
          <w:lang w:val="en-US" w:eastAsia="ar-SA"/>
        </w:rPr>
        <w:t>IV</w:t>
      </w:r>
      <w:r w:rsidRPr="004B4D12">
        <w:rPr>
          <w:rFonts w:ascii="PT Astra Serif" w:eastAsia="Times New Roman" w:hAnsi="PT Astra Serif" w:cs="Times New Roman"/>
          <w:sz w:val="28"/>
          <w:szCs w:val="28"/>
          <w:lang w:val="ru-RU" w:eastAsia="ar-SA"/>
        </w:rPr>
        <w:t xml:space="preserve"> кварталом 2018 года (57) и одновременно увеличилось в 1,2 раза                      по сравнению с </w:t>
      </w:r>
      <w:r w:rsidRPr="004B4D12">
        <w:rPr>
          <w:rFonts w:ascii="PT Astra Serif" w:eastAsia="Times New Roman" w:hAnsi="PT Astra Serif" w:cs="Times New Roman"/>
          <w:sz w:val="28"/>
          <w:szCs w:val="28"/>
          <w:lang w:val="en-US" w:eastAsia="ar-SA"/>
        </w:rPr>
        <w:t>IV</w:t>
      </w:r>
      <w:r w:rsidRPr="004B4D12">
        <w:rPr>
          <w:rFonts w:ascii="PT Astra Serif" w:eastAsia="Times New Roman" w:hAnsi="PT Astra Serif" w:cs="Times New Roman"/>
          <w:sz w:val="28"/>
          <w:szCs w:val="28"/>
          <w:lang w:val="ru-RU" w:eastAsia="ar-SA"/>
        </w:rPr>
        <w:t xml:space="preserve"> кварталом 2017 года (36).</w:t>
      </w:r>
    </w:p>
    <w:p w:rsidR="00ED1283" w:rsidRPr="004B4D12" w:rsidRDefault="00ED1283" w:rsidP="00ED1283">
      <w:pPr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val="ru-RU" w:eastAsia="ar-SA"/>
        </w:rPr>
      </w:pPr>
      <w:r w:rsidRPr="004B4D12">
        <w:rPr>
          <w:rFonts w:ascii="PT Astra Serif" w:eastAsia="Times New Roman" w:hAnsi="PT Astra Serif" w:cs="Times New Roman"/>
          <w:sz w:val="28"/>
          <w:szCs w:val="28"/>
          <w:lang w:val="ru-RU" w:eastAsia="ar-SA"/>
        </w:rPr>
        <w:t>Анализ обращений, направленных в Правительство Ульяновской области в обзорном периоде, на предмет результативности их рассмотрения показал следующие данные:</w:t>
      </w:r>
    </w:p>
    <w:p w:rsidR="00ED1283" w:rsidRPr="004B4D12" w:rsidRDefault="00ED1283" w:rsidP="00ED1283">
      <w:pPr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val="ru-RU" w:eastAsia="ar-SA"/>
        </w:rPr>
      </w:pPr>
      <w:r w:rsidRPr="004B4D12">
        <w:rPr>
          <w:rFonts w:ascii="PT Astra Serif" w:eastAsia="Times New Roman" w:hAnsi="PT Astra Serif" w:cs="Times New Roman"/>
          <w:sz w:val="28"/>
          <w:szCs w:val="28"/>
          <w:lang w:val="ru-RU" w:eastAsia="ar-SA"/>
        </w:rPr>
        <w:t>14% обращений от общего объёма находятся в работе</w:t>
      </w:r>
      <w:r w:rsidR="004B4D12" w:rsidRPr="004B4D12">
        <w:rPr>
          <w:rFonts w:ascii="PT Astra Serif" w:eastAsia="Times New Roman" w:hAnsi="PT Astra Serif" w:cs="Times New Roman"/>
          <w:sz w:val="28"/>
          <w:szCs w:val="28"/>
          <w:lang w:val="ru-RU" w:eastAsia="ar-SA"/>
        </w:rPr>
        <w:t xml:space="preserve"> согласно установленным срокам исполнения поручений</w:t>
      </w:r>
      <w:r w:rsidRPr="004B4D12">
        <w:rPr>
          <w:rFonts w:ascii="PT Astra Serif" w:eastAsia="Times New Roman" w:hAnsi="PT Astra Serif" w:cs="Times New Roman"/>
          <w:sz w:val="28"/>
          <w:szCs w:val="28"/>
          <w:lang w:val="ru-RU" w:eastAsia="ar-SA"/>
        </w:rPr>
        <w:t>, 5</w:t>
      </w:r>
      <w:r w:rsidR="004B4D12" w:rsidRPr="004B4D12">
        <w:rPr>
          <w:rFonts w:ascii="PT Astra Serif" w:eastAsia="Times New Roman" w:hAnsi="PT Astra Serif" w:cs="Times New Roman"/>
          <w:sz w:val="28"/>
          <w:szCs w:val="28"/>
          <w:lang w:val="ru-RU" w:eastAsia="ar-SA"/>
        </w:rPr>
        <w:t>2</w:t>
      </w:r>
      <w:r w:rsidRPr="004B4D12">
        <w:rPr>
          <w:rFonts w:ascii="PT Astra Serif" w:eastAsia="Times New Roman" w:hAnsi="PT Astra Serif" w:cs="Times New Roman"/>
          <w:sz w:val="28"/>
          <w:szCs w:val="28"/>
          <w:lang w:val="ru-RU" w:eastAsia="ar-SA"/>
        </w:rPr>
        <w:t>%  –  направлено в соответствии с ч. 3 ст. 8 Федерального закона от 02.05.2006  № 59-ФЗ «О порядке рассмотрения обращений граждан Российской Федерации» по компетенции в территориальные органы федеральных органов государственной власти, исполнительные органы государственной власти Ульяновской области и органы местного самоуправления муниципальных образований Ульяновской области для рассмотрения по существу. По 3</w:t>
      </w:r>
      <w:r w:rsidR="004B4D12" w:rsidRPr="004B4D12">
        <w:rPr>
          <w:rFonts w:ascii="PT Astra Serif" w:eastAsia="Times New Roman" w:hAnsi="PT Astra Serif" w:cs="Times New Roman"/>
          <w:sz w:val="28"/>
          <w:szCs w:val="28"/>
          <w:lang w:val="ru-RU" w:eastAsia="ar-SA"/>
        </w:rPr>
        <w:t>4</w:t>
      </w:r>
      <w:r w:rsidRPr="004B4D12">
        <w:rPr>
          <w:rFonts w:ascii="PT Astra Serif" w:eastAsia="Times New Roman" w:hAnsi="PT Astra Serif" w:cs="Times New Roman"/>
          <w:sz w:val="28"/>
          <w:szCs w:val="28"/>
          <w:lang w:val="ru-RU" w:eastAsia="ar-SA"/>
        </w:rPr>
        <w:t>% – меры приняты в полном объёме и (или) заявителям даны разъяснения  в соответствии с законодательством.</w:t>
      </w:r>
    </w:p>
    <w:p w:rsidR="0030374B" w:rsidRPr="004B4D12" w:rsidRDefault="0030374B" w:rsidP="00ED1283">
      <w:pPr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val="ru-RU" w:eastAsia="ar-SA"/>
        </w:rPr>
      </w:pPr>
    </w:p>
    <w:p w:rsidR="00FE3C5C" w:rsidRDefault="00FE3C5C" w:rsidP="00ED1283">
      <w:pPr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val="ru-RU" w:eastAsia="ar-SA"/>
        </w:rPr>
      </w:pPr>
    </w:p>
    <w:p w:rsidR="00FE3C5C" w:rsidRDefault="00FE3C5C" w:rsidP="00ED1283">
      <w:pPr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val="ru-RU" w:eastAsia="ar-SA"/>
        </w:rPr>
      </w:pPr>
    </w:p>
    <w:p w:rsidR="00917F08" w:rsidRPr="00FE3C5C" w:rsidRDefault="00917F08" w:rsidP="00ED1283">
      <w:pPr>
        <w:spacing w:line="19" w:lineRule="atLeast"/>
        <w:rPr>
          <w:lang w:val="ru-RU"/>
        </w:rPr>
      </w:pPr>
    </w:p>
    <w:sectPr w:rsidR="00917F08" w:rsidRPr="00FE3C5C" w:rsidSect="00ED1283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0E7" w:rsidRDefault="000B60E7" w:rsidP="00FE3C5C">
      <w:pPr>
        <w:spacing w:after="0" w:line="240" w:lineRule="auto"/>
      </w:pPr>
      <w:r>
        <w:separator/>
      </w:r>
    </w:p>
  </w:endnote>
  <w:endnote w:type="continuationSeparator" w:id="1">
    <w:p w:rsidR="000B60E7" w:rsidRDefault="000B60E7" w:rsidP="00FE3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0E7" w:rsidRDefault="000B60E7" w:rsidP="00FE3C5C">
      <w:pPr>
        <w:spacing w:after="0" w:line="240" w:lineRule="auto"/>
      </w:pPr>
      <w:r>
        <w:separator/>
      </w:r>
    </w:p>
  </w:footnote>
  <w:footnote w:type="continuationSeparator" w:id="1">
    <w:p w:rsidR="000B60E7" w:rsidRDefault="000B60E7" w:rsidP="00FE3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727164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C3788" w:rsidRPr="007967D7" w:rsidRDefault="00CA6B7A" w:rsidP="007967D7">
        <w:pPr>
          <w:pStyle w:val="a3"/>
          <w:jc w:val="center"/>
          <w:rPr>
            <w:sz w:val="24"/>
            <w:szCs w:val="24"/>
          </w:rPr>
        </w:pPr>
        <w:r w:rsidRPr="00D52AF9">
          <w:rPr>
            <w:sz w:val="24"/>
            <w:szCs w:val="24"/>
          </w:rPr>
          <w:fldChar w:fldCharType="begin"/>
        </w:r>
        <w:r w:rsidR="009A1B1A" w:rsidRPr="00D52AF9">
          <w:rPr>
            <w:sz w:val="24"/>
            <w:szCs w:val="24"/>
          </w:rPr>
          <w:instrText>PAGE   \* MERGEFORMAT</w:instrText>
        </w:r>
        <w:r w:rsidRPr="00D52AF9">
          <w:rPr>
            <w:sz w:val="24"/>
            <w:szCs w:val="24"/>
          </w:rPr>
          <w:fldChar w:fldCharType="separate"/>
        </w:r>
        <w:r w:rsidR="00242847" w:rsidRPr="00242847">
          <w:rPr>
            <w:noProof/>
            <w:sz w:val="24"/>
            <w:szCs w:val="24"/>
            <w:lang w:val="ru-RU"/>
          </w:rPr>
          <w:t>9</w:t>
        </w:r>
        <w:r w:rsidRPr="00D52AF9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61C15"/>
    <w:multiLevelType w:val="hybridMultilevel"/>
    <w:tmpl w:val="266A22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6A60391"/>
    <w:multiLevelType w:val="hybridMultilevel"/>
    <w:tmpl w:val="266A22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E3C5C"/>
    <w:rsid w:val="000B60E7"/>
    <w:rsid w:val="00242847"/>
    <w:rsid w:val="002945CD"/>
    <w:rsid w:val="002E4D66"/>
    <w:rsid w:val="0030374B"/>
    <w:rsid w:val="004B4D12"/>
    <w:rsid w:val="0082694E"/>
    <w:rsid w:val="00843768"/>
    <w:rsid w:val="00917F08"/>
    <w:rsid w:val="009A1B1A"/>
    <w:rsid w:val="00CA6B7A"/>
    <w:rsid w:val="00D94501"/>
    <w:rsid w:val="00D97EF4"/>
    <w:rsid w:val="00ED1283"/>
    <w:rsid w:val="00FE3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C5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3C5C"/>
    <w:rPr>
      <w:lang w:val="uk-UA"/>
    </w:rPr>
  </w:style>
  <w:style w:type="paragraph" w:styleId="a5">
    <w:name w:val="footer"/>
    <w:basedOn w:val="a"/>
    <w:link w:val="a6"/>
    <w:uiPriority w:val="99"/>
    <w:unhideWhenUsed/>
    <w:rsid w:val="00FE3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3C5C"/>
    <w:rPr>
      <w:lang w:val="uk-UA"/>
    </w:rPr>
  </w:style>
  <w:style w:type="table" w:customStyle="1" w:styleId="2">
    <w:name w:val="Сетка таблицы2"/>
    <w:basedOn w:val="a1"/>
    <w:next w:val="a7"/>
    <w:uiPriority w:val="99"/>
    <w:rsid w:val="00FE3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99"/>
    <w:rsid w:val="00FE3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FE3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E3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3C5C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C5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3C5C"/>
    <w:rPr>
      <w:lang w:val="uk-UA"/>
    </w:rPr>
  </w:style>
  <w:style w:type="paragraph" w:styleId="a5">
    <w:name w:val="footer"/>
    <w:basedOn w:val="a"/>
    <w:link w:val="a6"/>
    <w:uiPriority w:val="99"/>
    <w:unhideWhenUsed/>
    <w:rsid w:val="00FE3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3C5C"/>
    <w:rPr>
      <w:lang w:val="uk-UA"/>
    </w:rPr>
  </w:style>
  <w:style w:type="table" w:customStyle="1" w:styleId="2">
    <w:name w:val="Сетка таблицы2"/>
    <w:basedOn w:val="a1"/>
    <w:next w:val="a7"/>
    <w:uiPriority w:val="99"/>
    <w:rsid w:val="00FE3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99"/>
    <w:rsid w:val="00FE3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FE3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E3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3C5C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4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0;&#1085;&#1080;&#1075;&#1072;1&#1082;&#1074;2019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0;&#1085;&#1080;&#1075;&#1072;1&#1082;&#1074;2019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0;&#1085;&#1080;&#1075;&#1072;1&#1082;&#1074;2019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0;&#1085;&#1080;&#1075;&#1072;1&#1082;&#1074;2019.xlsx" TargetMode="External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Лист2!$B$4</c:f>
              <c:strCache>
                <c:ptCount val="1"/>
                <c:pt idx="0">
                  <c:v>4 квартал 2019 года</c:v>
                </c:pt>
              </c:strCache>
            </c:strRef>
          </c:tx>
          <c:cat>
            <c:strRef>
              <c:f>Лист2!$C$3:$D$3</c:f>
              <c:strCache>
                <c:ptCount val="2"/>
                <c:pt idx="0">
                  <c:v>Обращения </c:v>
                </c:pt>
                <c:pt idx="1">
                  <c:v>Вопросы</c:v>
                </c:pt>
              </c:strCache>
            </c:strRef>
          </c:cat>
          <c:val>
            <c:numRef>
              <c:f>Лист2!$C$4:$D$4</c:f>
              <c:numCache>
                <c:formatCode>General</c:formatCode>
                <c:ptCount val="2"/>
                <c:pt idx="0">
                  <c:v>3184</c:v>
                </c:pt>
                <c:pt idx="1">
                  <c:v>3603</c:v>
                </c:pt>
              </c:numCache>
            </c:numRef>
          </c:val>
        </c:ser>
        <c:ser>
          <c:idx val="1"/>
          <c:order val="1"/>
          <c:tx>
            <c:strRef>
              <c:f>Лист2!$B$5</c:f>
              <c:strCache>
                <c:ptCount val="1"/>
                <c:pt idx="0">
                  <c:v>4 квартал 2018 года</c:v>
                </c:pt>
              </c:strCache>
            </c:strRef>
          </c:tx>
          <c:cat>
            <c:strRef>
              <c:f>Лист2!$C$3:$D$3</c:f>
              <c:strCache>
                <c:ptCount val="2"/>
                <c:pt idx="0">
                  <c:v>Обращения </c:v>
                </c:pt>
                <c:pt idx="1">
                  <c:v>Вопросы</c:v>
                </c:pt>
              </c:strCache>
            </c:strRef>
          </c:cat>
          <c:val>
            <c:numRef>
              <c:f>Лист2!$C$5:$D$5</c:f>
              <c:numCache>
                <c:formatCode>General</c:formatCode>
                <c:ptCount val="2"/>
                <c:pt idx="0">
                  <c:v>2863</c:v>
                </c:pt>
                <c:pt idx="1">
                  <c:v>3266</c:v>
                </c:pt>
              </c:numCache>
            </c:numRef>
          </c:val>
        </c:ser>
        <c:ser>
          <c:idx val="2"/>
          <c:order val="2"/>
          <c:tx>
            <c:strRef>
              <c:f>Лист2!$B$6</c:f>
              <c:strCache>
                <c:ptCount val="1"/>
                <c:pt idx="0">
                  <c:v>4 квартал 2017  года</c:v>
                </c:pt>
              </c:strCache>
            </c:strRef>
          </c:tx>
          <c:cat>
            <c:strRef>
              <c:f>Лист2!$C$3:$D$3</c:f>
              <c:strCache>
                <c:ptCount val="2"/>
                <c:pt idx="0">
                  <c:v>Обращения </c:v>
                </c:pt>
                <c:pt idx="1">
                  <c:v>Вопросы</c:v>
                </c:pt>
              </c:strCache>
            </c:strRef>
          </c:cat>
          <c:val>
            <c:numRef>
              <c:f>Лист2!$C$6:$D$6</c:f>
              <c:numCache>
                <c:formatCode>General</c:formatCode>
                <c:ptCount val="2"/>
                <c:pt idx="0">
                  <c:v>3535</c:v>
                </c:pt>
                <c:pt idx="1">
                  <c:v>3816</c:v>
                </c:pt>
              </c:numCache>
            </c:numRef>
          </c:val>
        </c:ser>
        <c:shape val="box"/>
        <c:axId val="86373888"/>
        <c:axId val="86375424"/>
        <c:axId val="0"/>
      </c:bar3DChart>
      <c:catAx>
        <c:axId val="86373888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86375424"/>
        <c:crosses val="autoZero"/>
        <c:auto val="1"/>
        <c:lblAlgn val="ctr"/>
        <c:lblOffset val="100"/>
      </c:catAx>
      <c:valAx>
        <c:axId val="86375424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crossAx val="86373888"/>
        <c:crosses val="autoZero"/>
        <c:crossBetween val="between"/>
      </c:valAx>
      <c:dTable>
        <c:showHorzBorder val="1"/>
        <c:showVertBorder val="1"/>
        <c:showOutline val="1"/>
        <c:showKeys val="1"/>
      </c:dTable>
      <c:spPr>
        <a:ln w="34925" cmpd="tri">
          <a:solidFill>
            <a:srgbClr val="B0CCB0">
              <a:lumMod val="50000"/>
            </a:srgbClr>
          </a:solidFill>
        </a:ln>
      </c:spPr>
    </c:plotArea>
    <c:plotVisOnly val="1"/>
    <c:dispBlanksAs val="gap"/>
  </c:chart>
  <c:spPr>
    <a:ln w="34925" cap="rnd" cmpd="tri">
      <a:solidFill>
        <a:srgbClr val="4472C4">
          <a:lumMod val="75000"/>
        </a:srgbClr>
      </a:solidFill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perspective val="30"/>
    </c:view3D>
    <c:plotArea>
      <c:layout>
        <c:manualLayout>
          <c:layoutTarget val="inner"/>
          <c:xMode val="edge"/>
          <c:yMode val="edge"/>
          <c:x val="7.9179117033447766E-2"/>
          <c:y val="4.9181191334134094E-2"/>
          <c:w val="0.9080003701460394"/>
          <c:h val="0.52159046220917338"/>
        </c:manualLayout>
      </c:layout>
      <c:bar3DChart>
        <c:barDir val="col"/>
        <c:grouping val="clustered"/>
        <c:ser>
          <c:idx val="0"/>
          <c:order val="0"/>
          <c:tx>
            <c:strRef>
              <c:f>Лист2!$B$10</c:f>
              <c:strCache>
                <c:ptCount val="1"/>
                <c:pt idx="0">
                  <c:v>"Почта России"</c:v>
                </c:pt>
              </c:strCache>
            </c:strRef>
          </c:tx>
          <c:cat>
            <c:strRef>
              <c:f>Лист2!$C$9:$E$9</c:f>
              <c:strCache>
                <c:ptCount val="3"/>
                <c:pt idx="0">
                  <c:v>4 квартал 2017 года</c:v>
                </c:pt>
                <c:pt idx="1">
                  <c:v>4 квартал 2018 года</c:v>
                </c:pt>
                <c:pt idx="2">
                  <c:v>4 квартал 2019 года </c:v>
                </c:pt>
              </c:strCache>
            </c:strRef>
          </c:cat>
          <c:val>
            <c:numRef>
              <c:f>Лист2!$C$10:$E$10</c:f>
              <c:numCache>
                <c:formatCode>General</c:formatCode>
                <c:ptCount val="3"/>
                <c:pt idx="0">
                  <c:v>1829</c:v>
                </c:pt>
                <c:pt idx="1">
                  <c:v>1219</c:v>
                </c:pt>
                <c:pt idx="2">
                  <c:v>1083</c:v>
                </c:pt>
              </c:numCache>
            </c:numRef>
          </c:val>
        </c:ser>
        <c:ser>
          <c:idx val="1"/>
          <c:order val="1"/>
          <c:tx>
            <c:strRef>
              <c:f>Лист2!$B$11</c:f>
              <c:strCache>
                <c:ptCount val="1"/>
                <c:pt idx="0">
                  <c:v>"Личный кабинет", виртуальная приёмная, МЭДО</c:v>
                </c:pt>
              </c:strCache>
            </c:strRef>
          </c:tx>
          <c:cat>
            <c:strRef>
              <c:f>Лист2!$C$9:$E$9</c:f>
              <c:strCache>
                <c:ptCount val="3"/>
                <c:pt idx="0">
                  <c:v>4 квартал 2017 года</c:v>
                </c:pt>
                <c:pt idx="1">
                  <c:v>4 квартал 2018 года</c:v>
                </c:pt>
                <c:pt idx="2">
                  <c:v>4 квартал 2019 года </c:v>
                </c:pt>
              </c:strCache>
            </c:strRef>
          </c:cat>
          <c:val>
            <c:numRef>
              <c:f>Лист2!$C$11:$E$11</c:f>
              <c:numCache>
                <c:formatCode>General</c:formatCode>
                <c:ptCount val="3"/>
                <c:pt idx="0">
                  <c:v>1230</c:v>
                </c:pt>
                <c:pt idx="1">
                  <c:v>1287</c:v>
                </c:pt>
                <c:pt idx="2">
                  <c:v>1671</c:v>
                </c:pt>
              </c:numCache>
            </c:numRef>
          </c:val>
        </c:ser>
        <c:ser>
          <c:idx val="2"/>
          <c:order val="2"/>
          <c:tx>
            <c:strRef>
              <c:f>Лист2!$B$12</c:f>
              <c:strCache>
                <c:ptCount val="1"/>
                <c:pt idx="0">
                  <c:v>Приёмы граждан, телефонная линия</c:v>
                </c:pt>
              </c:strCache>
            </c:strRef>
          </c:tx>
          <c:cat>
            <c:strRef>
              <c:f>Лист2!$C$9:$E$9</c:f>
              <c:strCache>
                <c:ptCount val="3"/>
                <c:pt idx="0">
                  <c:v>4 квартал 2017 года</c:v>
                </c:pt>
                <c:pt idx="1">
                  <c:v>4 квартал 2018 года</c:v>
                </c:pt>
                <c:pt idx="2">
                  <c:v>4 квартал 2019 года </c:v>
                </c:pt>
              </c:strCache>
            </c:strRef>
          </c:cat>
          <c:val>
            <c:numRef>
              <c:f>Лист2!$C$12:$E$12</c:f>
              <c:numCache>
                <c:formatCode>General</c:formatCode>
                <c:ptCount val="3"/>
                <c:pt idx="0">
                  <c:v>476</c:v>
                </c:pt>
                <c:pt idx="1">
                  <c:v>357</c:v>
                </c:pt>
                <c:pt idx="2">
                  <c:v>430</c:v>
                </c:pt>
              </c:numCache>
            </c:numRef>
          </c:val>
        </c:ser>
        <c:gapWidth val="95"/>
        <c:gapDepth val="95"/>
        <c:shape val="box"/>
        <c:axId val="129002112"/>
        <c:axId val="129012096"/>
        <c:axId val="0"/>
      </c:bar3DChart>
      <c:catAx>
        <c:axId val="12900211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29012096"/>
        <c:crosses val="autoZero"/>
        <c:auto val="1"/>
        <c:lblAlgn val="ctr"/>
        <c:lblOffset val="100"/>
      </c:catAx>
      <c:valAx>
        <c:axId val="12901209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2900211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900" b="0"/>
            </a:pPr>
            <a:endParaRPr lang="ru-RU"/>
          </a:p>
        </c:txPr>
      </c:dTable>
      <c:spPr>
        <a:ln w="34925" cap="rnd" cmpd="sng">
          <a:solidFill>
            <a:srgbClr val="72A376"/>
          </a:solidFill>
          <a:bevel/>
        </a:ln>
      </c:spPr>
    </c:plotArea>
    <c:plotVisOnly val="1"/>
    <c:dispBlanksAs val="gap"/>
  </c:chart>
  <c:spPr>
    <a:ln w="34925" cmpd="tri">
      <a:solidFill>
        <a:srgbClr val="4472C4">
          <a:lumMod val="75000"/>
        </a:srgbClr>
      </a:solidFill>
      <a:prstDash val="solid"/>
    </a:ln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areaChart>
        <c:grouping val="stacked"/>
        <c:ser>
          <c:idx val="0"/>
          <c:order val="0"/>
          <c:tx>
            <c:strRef>
              <c:f>Лист2!$B$19</c:f>
              <c:strCache>
                <c:ptCount val="1"/>
                <c:pt idx="0">
                  <c:v>4 квартал 2017 года</c:v>
                </c:pt>
              </c:strCache>
            </c:strRef>
          </c:tx>
          <c:cat>
            <c:strRef>
              <c:f>Лист2!$C$18:$D$18</c:f>
              <c:strCache>
                <c:ptCount val="2"/>
                <c:pt idx="0">
                  <c:v>Обращения в Правительство области</c:v>
                </c:pt>
                <c:pt idx="1">
                  <c:v>Обращения в Администрацию Президента РФ </c:v>
                </c:pt>
              </c:strCache>
            </c:strRef>
          </c:cat>
          <c:val>
            <c:numRef>
              <c:f>Лист2!$C$19:$D$19</c:f>
              <c:numCache>
                <c:formatCode>General</c:formatCode>
                <c:ptCount val="2"/>
                <c:pt idx="0">
                  <c:v>3535</c:v>
                </c:pt>
                <c:pt idx="1">
                  <c:v>667</c:v>
                </c:pt>
              </c:numCache>
            </c:numRef>
          </c:val>
        </c:ser>
        <c:ser>
          <c:idx val="1"/>
          <c:order val="1"/>
          <c:tx>
            <c:strRef>
              <c:f>Лист2!$B$20</c:f>
              <c:strCache>
                <c:ptCount val="1"/>
                <c:pt idx="0">
                  <c:v>4 квартал 2018 года</c:v>
                </c:pt>
              </c:strCache>
            </c:strRef>
          </c:tx>
          <c:cat>
            <c:strRef>
              <c:f>Лист2!$C$18:$D$18</c:f>
              <c:strCache>
                <c:ptCount val="2"/>
                <c:pt idx="0">
                  <c:v>Обращения в Правительство области</c:v>
                </c:pt>
                <c:pt idx="1">
                  <c:v>Обращения в Администрацию Президента РФ </c:v>
                </c:pt>
              </c:strCache>
            </c:strRef>
          </c:cat>
          <c:val>
            <c:numRef>
              <c:f>Лист2!$C$20:$D$20</c:f>
              <c:numCache>
                <c:formatCode>General</c:formatCode>
                <c:ptCount val="2"/>
                <c:pt idx="0">
                  <c:v>2863</c:v>
                </c:pt>
                <c:pt idx="1">
                  <c:v>561</c:v>
                </c:pt>
              </c:numCache>
            </c:numRef>
          </c:val>
        </c:ser>
        <c:ser>
          <c:idx val="2"/>
          <c:order val="2"/>
          <c:tx>
            <c:strRef>
              <c:f>Лист2!$B$21</c:f>
              <c:strCache>
                <c:ptCount val="1"/>
                <c:pt idx="0">
                  <c:v>4 квартал 2019 года</c:v>
                </c:pt>
              </c:strCache>
            </c:strRef>
          </c:tx>
          <c:spPr>
            <a:ln w="25400">
              <a:noFill/>
            </a:ln>
          </c:spPr>
          <c:cat>
            <c:strRef>
              <c:f>Лист2!$C$18:$D$18</c:f>
              <c:strCache>
                <c:ptCount val="2"/>
                <c:pt idx="0">
                  <c:v>Обращения в Правительство области</c:v>
                </c:pt>
                <c:pt idx="1">
                  <c:v>Обращения в Администрацию Президента РФ </c:v>
                </c:pt>
              </c:strCache>
            </c:strRef>
          </c:cat>
          <c:val>
            <c:numRef>
              <c:f>Лист2!$C$21:$D$21</c:f>
              <c:numCache>
                <c:formatCode>General</c:formatCode>
                <c:ptCount val="2"/>
                <c:pt idx="0">
                  <c:v>3184</c:v>
                </c:pt>
                <c:pt idx="1">
                  <c:v>597</c:v>
                </c:pt>
              </c:numCache>
            </c:numRef>
          </c:val>
        </c:ser>
        <c:axId val="128989440"/>
        <c:axId val="129052672"/>
      </c:areaChart>
      <c:catAx>
        <c:axId val="128989440"/>
        <c:scaling>
          <c:orientation val="minMax"/>
        </c:scaling>
        <c:axPos val="b"/>
        <c:majorTickMark val="none"/>
        <c:tickLblPos val="nextTo"/>
        <c:crossAx val="129052672"/>
        <c:crosses val="autoZero"/>
        <c:auto val="1"/>
        <c:lblAlgn val="ctr"/>
        <c:lblOffset val="100"/>
      </c:catAx>
      <c:valAx>
        <c:axId val="12905267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28989440"/>
        <c:crosses val="autoZero"/>
        <c:crossBetween val="midCat"/>
      </c:valAx>
      <c:dTable>
        <c:showHorzBorder val="1"/>
        <c:showVertBorder val="1"/>
        <c:showOutline val="1"/>
        <c:showKeys val="1"/>
        <c:spPr>
          <a:ln>
            <a:solidFill>
              <a:srgbClr val="72A376"/>
            </a:solidFill>
          </a:ln>
        </c:spPr>
      </c:dTable>
      <c:spPr>
        <a:ln>
          <a:solidFill>
            <a:srgbClr val="0070C0"/>
          </a:solidFill>
        </a:ln>
      </c:spPr>
    </c:plotArea>
    <c:plotVisOnly val="1"/>
    <c:dispBlanksAs val="zero"/>
  </c:chart>
  <c:spPr>
    <a:ln w="34925" cmpd="tri">
      <a:solidFill>
        <a:srgbClr val="72A376"/>
      </a:solidFill>
      <a:bevel/>
    </a:ln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otX val="75"/>
      <c:perspective val="200"/>
    </c:view3D>
    <c:plotArea>
      <c:layout>
        <c:manualLayout>
          <c:layoutTarget val="inner"/>
          <c:xMode val="edge"/>
          <c:yMode val="edge"/>
          <c:x val="6.8957197657985081E-2"/>
          <c:y val="0.11322109732158751"/>
          <c:w val="0.86468442914437971"/>
          <c:h val="0.84834627481497171"/>
        </c:manualLayout>
      </c:layout>
      <c:pie3DChart>
        <c:varyColors val="1"/>
        <c:ser>
          <c:idx val="0"/>
          <c:order val="0"/>
          <c:spPr>
            <a:ln w="57150">
              <a:solidFill>
                <a:srgbClr val="FFC000"/>
              </a:solidFill>
            </a:ln>
          </c:spPr>
          <c:explosion val="25"/>
          <c:dLbls>
            <c:dLbl>
              <c:idx val="0"/>
              <c:layout>
                <c:manualLayout>
                  <c:x val="4.5012790141049794E-2"/>
                  <c:y val="1.894736842105264E-2"/>
                </c:manualLayout>
              </c:layout>
              <c:dLblPos val="bestFit"/>
              <c:showLegendKey val="1"/>
              <c:showVal val="1"/>
              <c:showCatName val="1"/>
              <c:separator> </c:separator>
            </c:dLbl>
            <c:dLbl>
              <c:idx val="1"/>
              <c:layout>
                <c:manualLayout>
                  <c:x val="6.0017053521399778E-2"/>
                  <c:y val="-8.2105263157894764E-2"/>
                </c:manualLayout>
              </c:layout>
              <c:dLblPos val="bestFit"/>
              <c:showLegendKey val="1"/>
              <c:showVal val="1"/>
              <c:showCatName val="1"/>
              <c:separator> </c:separator>
            </c:dLbl>
            <c:dLbl>
              <c:idx val="2"/>
              <c:layout>
                <c:manualLayout>
                  <c:x val="-0.14049446619782205"/>
                  <c:y val="-4.0000000000000015E-2"/>
                </c:manualLayout>
              </c:layout>
              <c:dLblPos val="bestFit"/>
              <c:showLegendKey val="1"/>
              <c:showVal val="1"/>
              <c:showCatName val="1"/>
              <c:separator> </c:separator>
            </c:dLbl>
            <c:dLbl>
              <c:idx val="3"/>
              <c:layout>
                <c:manualLayout>
                  <c:x val="-5.4560957746726993E-2"/>
                  <c:y val="-2.9473684210526322E-2"/>
                </c:manualLayout>
              </c:layout>
              <c:dLblPos val="bestFit"/>
              <c:showLegendKey val="1"/>
              <c:showVal val="1"/>
              <c:showCatName val="1"/>
              <c:separator> </c:separator>
            </c:dLbl>
            <c:dLbl>
              <c:idx val="5"/>
              <c:layout>
                <c:manualLayout>
                  <c:x val="-6.0783195369809542E-2"/>
                  <c:y val="-1.6842077908578265E-2"/>
                </c:manualLayout>
              </c:layout>
              <c:dLblPos val="bestFit"/>
              <c:showLegendKey val="1"/>
              <c:showVal val="1"/>
              <c:showCatName val="1"/>
              <c:separator> </c:separator>
            </c:dLbl>
            <c:dLbl>
              <c:idx val="6"/>
              <c:layout>
                <c:manualLayout>
                  <c:x val="0.14731458591616284"/>
                  <c:y val="-2.1052631578947329E-3"/>
                </c:manualLayout>
              </c:layout>
              <c:dLblPos val="bestFit"/>
              <c:showLegendKey val="1"/>
              <c:showVal val="1"/>
              <c:showCatName val="1"/>
              <c:separator> </c:separator>
            </c:dLbl>
            <c:spPr>
              <a:ln>
                <a:solidFill>
                  <a:srgbClr val="C00000"/>
                </a:solidFill>
              </a:ln>
            </c:spPr>
            <c:txPr>
              <a:bodyPr/>
              <a:lstStyle/>
              <a:p>
                <a:pPr>
                  <a:defRPr sz="1070"/>
                </a:pPr>
                <a:endParaRPr lang="ru-RU"/>
              </a:p>
            </c:txPr>
            <c:dLblPos val="outEnd"/>
            <c:showLegendKey val="1"/>
            <c:showVal val="1"/>
            <c:showCatName val="1"/>
            <c:separator> </c:separator>
          </c:dLbls>
          <c:cat>
            <c:strRef>
              <c:f>Лист2!$B$24:$B$30</c:f>
              <c:strCache>
                <c:ptCount val="7"/>
                <c:pt idx="0">
                  <c:v>Жилище</c:v>
                </c:pt>
                <c:pt idx="1">
                  <c:v>Хозяйственная деятельность</c:v>
                </c:pt>
                <c:pt idx="2">
                  <c:v>Соцобеспечение</c:v>
                </c:pt>
                <c:pt idx="3">
                  <c:v>Природные ресурсы</c:v>
                </c:pt>
                <c:pt idx="4">
                  <c:v>Здравоохранение</c:v>
                </c:pt>
                <c:pt idx="5">
                  <c:v>Основы госуправления</c:v>
                </c:pt>
                <c:pt idx="6">
                  <c:v>Образование. Наука. Культура</c:v>
                </c:pt>
              </c:strCache>
            </c:strRef>
          </c:cat>
          <c:val>
            <c:numRef>
              <c:f>Лист2!$C$24:$C$30</c:f>
              <c:numCache>
                <c:formatCode>0.0%</c:formatCode>
                <c:ptCount val="7"/>
                <c:pt idx="0">
                  <c:v>0.22</c:v>
                </c:pt>
                <c:pt idx="1">
                  <c:v>0.21000000000000005</c:v>
                </c:pt>
                <c:pt idx="2">
                  <c:v>0.11899999999999998</c:v>
                </c:pt>
                <c:pt idx="3">
                  <c:v>0.115</c:v>
                </c:pt>
                <c:pt idx="4">
                  <c:v>9.0000000000000024E-2</c:v>
                </c:pt>
                <c:pt idx="5">
                  <c:v>7.0000000000000021E-2</c:v>
                </c:pt>
                <c:pt idx="6">
                  <c:v>7.5000000000000011E-2</c:v>
                </c:pt>
              </c:numCache>
            </c:numRef>
          </c:val>
        </c:ser>
        <c:dLbls>
          <c:showVal val="1"/>
        </c:dLbls>
      </c:pie3DChart>
      <c:spPr>
        <a:scene3d>
          <a:camera prst="orthographicFront"/>
          <a:lightRig rig="threePt" dir="t"/>
        </a:scene3d>
        <a:sp3d>
          <a:bevelB prst="angle"/>
        </a:sp3d>
      </c:spPr>
    </c:plotArea>
    <c:plotVisOnly val="1"/>
    <c:dispBlanksAs val="zero"/>
  </c:chart>
  <c:spPr>
    <a:ln w="34925" cmpd="tri">
      <a:solidFill>
        <a:srgbClr val="72A376"/>
      </a:solidFill>
      <a:bevel/>
    </a:ln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2101</Words>
  <Characters>11981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Садыкова Зульфия Шамилевна</dc:creator>
  <cp:lastModifiedBy>Olga Brenduk</cp:lastModifiedBy>
  <cp:revision>2</cp:revision>
  <cp:lastPrinted>2020-01-17T10:44:00Z</cp:lastPrinted>
  <dcterms:created xsi:type="dcterms:W3CDTF">2020-02-05T06:08:00Z</dcterms:created>
  <dcterms:modified xsi:type="dcterms:W3CDTF">2020-02-05T06:08:00Z</dcterms:modified>
</cp:coreProperties>
</file>