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FA" w:rsidRPr="000179C8" w:rsidRDefault="002F7BFA" w:rsidP="001539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dr w:val="none" w:sz="0" w:space="0" w:color="auto"/>
        </w:rPr>
      </w:pPr>
      <w:r w:rsidRPr="000179C8">
        <w:rPr>
          <w:rFonts w:ascii="Times New Roman" w:eastAsia="Times New Roman" w:hAnsi="Times New Roman" w:cs="Times New Roman"/>
          <w:b/>
          <w:bdr w:val="none" w:sz="0" w:space="0" w:color="auto"/>
        </w:rPr>
        <w:t>Технические требования на оказание услуги обзорного видеонаблюдения</w:t>
      </w:r>
      <w:bookmarkStart w:id="0" w:name="26in1rg" w:colFirst="0" w:colLast="0"/>
      <w:bookmarkEnd w:id="0"/>
      <w:r w:rsidRPr="000179C8">
        <w:rPr>
          <w:rFonts w:ascii="Times New Roman" w:eastAsia="Times New Roman" w:hAnsi="Times New Roman" w:cs="Times New Roman"/>
          <w:b/>
          <w:bdr w:val="none" w:sz="0" w:space="0" w:color="auto"/>
        </w:rPr>
        <w:t xml:space="preserve"> на территории Ульяновской области (за исключением города Ульяновска).</w:t>
      </w:r>
    </w:p>
    <w:p w:rsidR="002F7BFA" w:rsidRPr="000179C8" w:rsidRDefault="002F7BFA" w:rsidP="002F7B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rPr>
      </w:pPr>
    </w:p>
    <w:p w:rsidR="002F7BFA" w:rsidRPr="000179C8" w:rsidRDefault="002F7BFA" w:rsidP="002F7BF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Общие сведения</w:t>
      </w:r>
    </w:p>
    <w:p w:rsidR="002F7BFA" w:rsidRPr="000179C8" w:rsidRDefault="002F7BFA" w:rsidP="002F7BF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Список определений и сокращений.</w:t>
      </w:r>
    </w:p>
    <w:p w:rsidR="002F7BFA" w:rsidRPr="000179C8" w:rsidRDefault="002F7BFA" w:rsidP="002F7BFA">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ВК - Видеокамера</w:t>
      </w:r>
    </w:p>
    <w:p w:rsidR="002F7BFA" w:rsidRPr="000179C8" w:rsidRDefault="002F7BFA" w:rsidP="002F7BFA">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ПО - Программное обеспечение</w:t>
      </w:r>
    </w:p>
    <w:p w:rsidR="002F7BFA" w:rsidRPr="000179C8" w:rsidRDefault="002F7BFA" w:rsidP="002F7BFA">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ДЦ - Дата-центр</w:t>
      </w:r>
    </w:p>
    <w:p w:rsidR="002F7BFA" w:rsidRPr="000179C8" w:rsidRDefault="002F7BFA" w:rsidP="002F7BFA">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СПД - Сеть передачи данных</w:t>
      </w:r>
    </w:p>
    <w:p w:rsidR="002F7BFA" w:rsidRPr="000179C8" w:rsidRDefault="002F7BFA" w:rsidP="002F7BFA">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ВОК - Волоконно-оптический кабель</w:t>
      </w:r>
    </w:p>
    <w:p w:rsidR="002F7BFA" w:rsidRPr="000179C8" w:rsidRDefault="002F7BFA" w:rsidP="002F7BFA">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ИБП - Источник бесперебойного питания</w:t>
      </w:r>
    </w:p>
    <w:p w:rsidR="002F7BFA" w:rsidRPr="000179C8" w:rsidRDefault="002F7BFA" w:rsidP="002F7BFA">
      <w:pPr>
        <w:pBdr>
          <w:bar w:val="none" w:sz="0" w:color="auto"/>
        </w:pBdr>
        <w:spacing w:after="0" w:line="240" w:lineRule="auto"/>
        <w:ind w:left="972"/>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СВН - Система видеонаблюдения</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1.2. Система видеонаблюдения должна обеспечивать круглосуточный мониторинг за объектами с возможностью сбора, консолидации и хранения видео данных в течение 30 суток, а также удалённого просмотра с разграничением прав доступа.</w:t>
      </w:r>
    </w:p>
    <w:p w:rsidR="002F7BFA" w:rsidRPr="000179C8" w:rsidRDefault="002F7BFA" w:rsidP="002F7BFA">
      <w:pPr>
        <w:pBdr>
          <w:bar w:val="none" w:sz="0" w:color="auto"/>
        </w:pBdr>
        <w:spacing w:after="0" w:line="240" w:lineRule="auto"/>
        <w:jc w:val="both"/>
        <w:rPr>
          <w:rFonts w:ascii="Times New Roman" w:eastAsia="Times New Roman" w:hAnsi="Times New Roman" w:cs="Times New Roman"/>
          <w:bdr w:val="none" w:sz="0" w:space="0" w:color="auto"/>
        </w:rPr>
      </w:pPr>
    </w:p>
    <w:p w:rsidR="002F7BFA" w:rsidRPr="000179C8" w:rsidRDefault="002F7BFA" w:rsidP="002F7BF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Основные функции системы</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2.1. Запись. Система должна иметь возможность осуществлять как круглосуточную запись видеоинформации с указанием номера видеокамеры, даты и времени, так и/или запись по </w:t>
      </w:r>
      <w:proofErr w:type="spellStart"/>
      <w:r w:rsidRPr="000179C8">
        <w:rPr>
          <w:rFonts w:ascii="Times New Roman" w:eastAsia="Times New Roman" w:hAnsi="Times New Roman" w:cs="Times New Roman"/>
          <w:bdr w:val="none" w:sz="0" w:space="0" w:color="auto"/>
        </w:rPr>
        <w:t>детекции</w:t>
      </w:r>
      <w:proofErr w:type="spellEnd"/>
      <w:r w:rsidRPr="000179C8">
        <w:rPr>
          <w:rFonts w:ascii="Times New Roman" w:eastAsia="Times New Roman" w:hAnsi="Times New Roman" w:cs="Times New Roman"/>
          <w:bdr w:val="none" w:sz="0" w:space="0" w:color="auto"/>
        </w:rPr>
        <w:t xml:space="preserve"> движения.</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2.2Просмотр. Система должна предусматривать возможность удалённого просмотра текущего изображения с видеокамер в любое время суток, без прерывания записи.</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2.3. Работа с видеоархивом. Система должна предусматривать возможность выполнения следующих действий параллельно процессу записи:</w:t>
      </w:r>
    </w:p>
    <w:p w:rsidR="002F7BFA" w:rsidRPr="000179C8" w:rsidRDefault="002F7BFA" w:rsidP="002F7BFA">
      <w:pPr>
        <w:pBdr>
          <w:bar w:val="none" w:sz="0" w:color="auto"/>
        </w:pBdr>
        <w:spacing w:after="0" w:line="240" w:lineRule="auto"/>
        <w:ind w:firstLine="851"/>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 оперативный поиск и просмотр видеозаписи с заданной камеры за указанный временной интервал в пределах последних 30 суток;</w:t>
      </w:r>
    </w:p>
    <w:p w:rsidR="002F7BFA" w:rsidRPr="000179C8" w:rsidRDefault="002F7BFA" w:rsidP="002F7BFA">
      <w:pPr>
        <w:pBdr>
          <w:bar w:val="none" w:sz="0" w:color="auto"/>
        </w:pBdr>
        <w:spacing w:after="0" w:line="240" w:lineRule="auto"/>
        <w:ind w:firstLine="851"/>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2) сохранение интересующего фрагмента видеозаписи на USB-карте памяти или по сети на жестком диске ПК оператора по запросу.</w:t>
      </w:r>
    </w:p>
    <w:p w:rsidR="002F7BFA" w:rsidRPr="000179C8" w:rsidRDefault="002F7BFA" w:rsidP="002F7BFA">
      <w:pPr>
        <w:pBdr>
          <w:bar w:val="none" w:sz="0" w:color="auto"/>
        </w:pBdr>
        <w:spacing w:after="0" w:line="240" w:lineRule="auto"/>
        <w:rPr>
          <w:rFonts w:ascii="Times New Roman" w:eastAsia="Times New Roman" w:hAnsi="Times New Roman" w:cs="Times New Roman"/>
          <w:bdr w:val="none" w:sz="0" w:space="0" w:color="auto"/>
        </w:rPr>
      </w:pPr>
    </w:p>
    <w:p w:rsidR="002F7BFA" w:rsidRPr="000179C8" w:rsidRDefault="002F7BFA" w:rsidP="002F7BF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Требования к архитектуре системы</w:t>
      </w:r>
    </w:p>
    <w:p w:rsidR="002F7BFA" w:rsidRPr="000179C8" w:rsidRDefault="002F7BFA" w:rsidP="002F7BFA">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3.1. Архитектура должна быть масштабируемой по количеству камер регистрации, серверного оборудования и используемых модулей ПО. </w:t>
      </w:r>
    </w:p>
    <w:p w:rsidR="002F7BFA" w:rsidRPr="000179C8" w:rsidRDefault="002F7BFA" w:rsidP="002F7BFA">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3.2. Архитектурой должно предусматриваться распределение вычислительных функций системы и централизация функций управления. </w:t>
      </w:r>
    </w:p>
    <w:p w:rsidR="002F7BFA" w:rsidRPr="000179C8" w:rsidRDefault="002F7BFA" w:rsidP="002F7BFA">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3.3. Эффективное использование ресурсов должно быть обеспечено за счет равномерного распределения нагрузки между модулями, выполняющими одинаковые функции. </w:t>
      </w:r>
    </w:p>
    <w:p w:rsidR="002F7BFA" w:rsidRPr="000179C8" w:rsidRDefault="002F7BFA" w:rsidP="002F7BFA">
      <w:pPr>
        <w:pBdr>
          <w:bar w:val="none" w:sz="0" w:color="auto"/>
        </w:pBdr>
        <w:spacing w:after="0" w:line="240" w:lineRule="auto"/>
        <w:jc w:val="center"/>
        <w:rPr>
          <w:rFonts w:ascii="Times New Roman" w:eastAsia="Times New Roman" w:hAnsi="Times New Roman" w:cs="Times New Roman"/>
          <w:bdr w:val="none" w:sz="0" w:space="0" w:color="auto"/>
        </w:rPr>
      </w:pPr>
    </w:p>
    <w:p w:rsidR="002F7BFA" w:rsidRPr="000179C8" w:rsidRDefault="002F7BFA" w:rsidP="002F7BF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Требования к камерам</w:t>
      </w:r>
    </w:p>
    <w:p w:rsidR="002F7BFA" w:rsidRPr="000179C8" w:rsidRDefault="002F7BFA" w:rsidP="002F7BF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Камеры должны иметь следующие характеристики:</w:t>
      </w:r>
    </w:p>
    <w:tbl>
      <w:tblPr>
        <w:tblW w:w="9606" w:type="dxa"/>
        <w:tblLayout w:type="fixed"/>
        <w:tblLook w:val="0000"/>
      </w:tblPr>
      <w:tblGrid>
        <w:gridCol w:w="4786"/>
        <w:gridCol w:w="4820"/>
      </w:tblGrid>
      <w:tr w:rsidR="002F7BFA" w:rsidRPr="000179C8" w:rsidTr="00D87FFB">
        <w:trPr>
          <w:trHeight w:val="320"/>
        </w:trPr>
        <w:tc>
          <w:tcPr>
            <w:tcW w:w="47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Тип</w:t>
            </w:r>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Уличная</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Разрешение</w:t>
            </w:r>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2,0 Мп</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Объектив</w:t>
            </w:r>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2,8 мм или </w:t>
            </w:r>
            <w:r w:rsidRPr="000179C8">
              <w:rPr>
                <w:rFonts w:ascii="Times New Roman" w:eastAsia="Times New Roman" w:hAnsi="Times New Roman" w:cs="Times New Roman"/>
                <w:color w:val="auto"/>
                <w:bdr w:val="none" w:sz="0" w:space="0" w:color="auto"/>
              </w:rPr>
              <w:t>3,6 мм</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ИК Подсветка</w:t>
            </w:r>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20 м.</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Светочувствительность</w:t>
            </w:r>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0,05 Лк (цвет.), 0 Лк (ИК подсветка </w:t>
            </w:r>
            <w:proofErr w:type="spellStart"/>
            <w:r w:rsidRPr="000179C8">
              <w:rPr>
                <w:rFonts w:ascii="Times New Roman" w:eastAsia="Times New Roman" w:hAnsi="Times New Roman" w:cs="Times New Roman"/>
                <w:bdr w:val="none" w:sz="0" w:space="0" w:color="auto"/>
              </w:rPr>
              <w:t>вкл</w:t>
            </w:r>
            <w:proofErr w:type="spellEnd"/>
            <w:r w:rsidRPr="000179C8">
              <w:rPr>
                <w:rFonts w:ascii="Times New Roman" w:eastAsia="Times New Roman" w:hAnsi="Times New Roman" w:cs="Times New Roman"/>
                <w:bdr w:val="none" w:sz="0" w:space="0" w:color="auto"/>
              </w:rPr>
              <w:t>.)</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Угол обзора</w:t>
            </w:r>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87°</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Битрейт</w:t>
            </w:r>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2048 Кбит/с</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Поддержка </w:t>
            </w:r>
            <w:proofErr w:type="spellStart"/>
            <w:r w:rsidRPr="000179C8">
              <w:rPr>
                <w:rFonts w:ascii="Times New Roman" w:eastAsia="Times New Roman" w:hAnsi="Times New Roman" w:cs="Times New Roman"/>
                <w:bdr w:val="none" w:sz="0" w:space="0" w:color="auto"/>
              </w:rPr>
              <w:t>PoE</w:t>
            </w:r>
            <w:proofErr w:type="spellEnd"/>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Наличие (</w:t>
            </w:r>
            <w:proofErr w:type="spellStart"/>
            <w:r w:rsidRPr="000179C8">
              <w:rPr>
                <w:rFonts w:ascii="Times New Roman" w:eastAsia="Times New Roman" w:hAnsi="Times New Roman" w:cs="Times New Roman"/>
                <w:bdr w:val="none" w:sz="0" w:space="0" w:color="auto"/>
              </w:rPr>
              <w:t>PoE</w:t>
            </w:r>
            <w:proofErr w:type="spellEnd"/>
            <w:r w:rsidRPr="000179C8">
              <w:rPr>
                <w:rFonts w:ascii="Times New Roman" w:eastAsia="Times New Roman" w:hAnsi="Times New Roman" w:cs="Times New Roman"/>
                <w:bdr w:val="none" w:sz="0" w:space="0" w:color="auto"/>
              </w:rPr>
              <w:t xml:space="preserve"> 802.3af, 802.3at)</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Рабочая температура, °C</w:t>
            </w:r>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-40°С – +60°С</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Стандарт сжатия</w:t>
            </w:r>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H.264</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Частота кадров/сек.</w:t>
            </w:r>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25Fps при 1920x1080</w:t>
            </w:r>
          </w:p>
        </w:tc>
      </w:tr>
      <w:tr w:rsidR="002F7BFA" w:rsidRPr="000179C8" w:rsidTr="00D87FFB">
        <w:trPr>
          <w:trHeight w:val="320"/>
        </w:trPr>
        <w:tc>
          <w:tcPr>
            <w:tcW w:w="4786" w:type="dxa"/>
            <w:tcBorders>
              <w:top w:val="single" w:sz="4" w:space="0" w:color="000000"/>
              <w:left w:val="single" w:sz="4" w:space="0" w:color="000000"/>
              <w:bottom w:val="nil"/>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Степень защиты</w:t>
            </w:r>
          </w:p>
        </w:tc>
        <w:tc>
          <w:tcPr>
            <w:tcW w:w="4820" w:type="dxa"/>
            <w:tcBorders>
              <w:top w:val="single" w:sz="4" w:space="0" w:color="000000"/>
              <w:left w:val="nil"/>
              <w:bottom w:val="nil"/>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IP66, IK10</w:t>
            </w:r>
          </w:p>
        </w:tc>
      </w:tr>
      <w:tr w:rsidR="002F7BFA" w:rsidRPr="000179C8" w:rsidTr="00D87FFB">
        <w:trPr>
          <w:trHeight w:val="320"/>
        </w:trPr>
        <w:tc>
          <w:tcPr>
            <w:tcW w:w="47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Материал корпуса</w:t>
            </w:r>
          </w:p>
        </w:tc>
        <w:tc>
          <w:tcPr>
            <w:tcW w:w="4820" w:type="dxa"/>
            <w:tcBorders>
              <w:top w:val="single" w:sz="4" w:space="0" w:color="000000"/>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Металл</w:t>
            </w:r>
          </w:p>
        </w:tc>
      </w:tr>
      <w:tr w:rsidR="002F7BFA" w:rsidRPr="000179C8" w:rsidTr="00D87FFB">
        <w:trPr>
          <w:trHeight w:val="320"/>
        </w:trPr>
        <w:tc>
          <w:tcPr>
            <w:tcW w:w="4786" w:type="dxa"/>
            <w:tcBorders>
              <w:top w:val="nil"/>
              <w:left w:val="single" w:sz="4" w:space="0" w:color="000000"/>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Дуальный поток</w:t>
            </w:r>
          </w:p>
        </w:tc>
        <w:tc>
          <w:tcPr>
            <w:tcW w:w="4820" w:type="dxa"/>
            <w:tcBorders>
              <w:top w:val="nil"/>
              <w:left w:val="nil"/>
              <w:bottom w:val="single" w:sz="4" w:space="0" w:color="000000"/>
              <w:right w:val="single" w:sz="4" w:space="0" w:color="000000"/>
            </w:tcBorders>
            <w:shd w:val="clear" w:color="auto" w:fill="FFFFFF"/>
            <w:vAlign w:val="center"/>
          </w:tcPr>
          <w:p w:rsidR="002F7BFA" w:rsidRPr="000179C8" w:rsidRDefault="002F7BFA" w:rsidP="00D87FFB">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Да</w:t>
            </w:r>
          </w:p>
        </w:tc>
      </w:tr>
    </w:tbl>
    <w:p w:rsidR="002F7BFA" w:rsidRPr="000179C8" w:rsidRDefault="002F7BFA" w:rsidP="002F7BFA">
      <w:pPr>
        <w:pBdr>
          <w:bar w:val="none" w:sz="0" w:color="auto"/>
        </w:pBdr>
        <w:spacing w:after="0" w:line="240" w:lineRule="auto"/>
        <w:rPr>
          <w:rFonts w:ascii="Times New Roman" w:eastAsia="Times New Roman" w:hAnsi="Times New Roman" w:cs="Times New Roman"/>
          <w:bdr w:val="none" w:sz="0" w:space="0" w:color="auto"/>
        </w:rPr>
      </w:pPr>
    </w:p>
    <w:p w:rsidR="002F7BFA" w:rsidRPr="000179C8" w:rsidRDefault="002F7BFA" w:rsidP="002F7BF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Требование к серверному оборудованию</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bdr w:val="none" w:sz="0" w:space="0" w:color="auto"/>
        </w:rPr>
        <w:lastRenderedPageBreak/>
        <w:t>5</w:t>
      </w:r>
      <w:r w:rsidRPr="000179C8">
        <w:rPr>
          <w:rFonts w:ascii="Times New Roman" w:eastAsia="Times New Roman" w:hAnsi="Times New Roman" w:cs="Times New Roman"/>
          <w:highlight w:val="white"/>
          <w:bdr w:val="none" w:sz="0" w:space="0" w:color="auto"/>
        </w:rPr>
        <w:t>.1. Серверное оборудование предназначено для приема и обработки видеопотока, регистрируемого видеокамерами из состава системы видеонаблюдения, с помощью, установленного на него ПО.</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 xml:space="preserve">5.2. Количество и технические характеристики серверного оборудования определяются, исходя из требований к производительности системы: загрузка процессоров не более 60% при одновременном выполнении всех функций системы. </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p>
    <w:p w:rsidR="002F7BFA" w:rsidRPr="000179C8" w:rsidRDefault="002F7BFA" w:rsidP="002F7BF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Требование к Дата-центру</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 xml:space="preserve">6.1. Система электроснабжения ДЦ должна обеспечивать работу активного технологического оборудования ДЦ и оборудования инженерных систем. Для реализации данного требования необходимо выполнить прокладку силовых линий от источников электроснабжения трёхфазной промышленной сети переменного тока напряжением 380 В и частотой 50 Гц – от двух разных независимых трансформаторных подстанций. </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 xml:space="preserve">6.2. Система должна быть оснащена дизельным генератором, который должен обеспечивать электроснабжение ДЦ не менее 24 часов. </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6.3. Необходимо предусмотреть систему централизованного бесперебойного питания, т.е. питания каждого серверного шкафа и шкафа телекоммуникации, осуществляется от ИБП. Выходная мощность ИБП должна быть не менее 40 кВт. Продолжительность работы от аккумуляторных батарей не менее 60 минут. Источник бесперебойного питания должен быть укомплектован модулем управления и мониторинга, а также специализированным программным обеспечением для управления нагрузкой и мониторинга его состояния.</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6.4. Система кондиционирования воздуха ДЦ должна обеспечивать поддержание нормируемых параметров воздушной среды непрерывно, круглосуточно и круглогодично.</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p>
    <w:p w:rsidR="002F7BFA" w:rsidRPr="000179C8" w:rsidRDefault="002F7BFA" w:rsidP="002F7BF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Требование к каналу передачи данных</w:t>
      </w:r>
    </w:p>
    <w:p w:rsidR="002F7BFA" w:rsidRPr="000179C8" w:rsidRDefault="002F7BFA" w:rsidP="00AB39E4">
      <w:pPr>
        <w:pBdr>
          <w:bar w:val="none" w:sz="0" w:color="auto"/>
        </w:pBdr>
        <w:tabs>
          <w:tab w:val="left" w:pos="993"/>
        </w:tabs>
        <w:spacing w:after="0" w:line="240" w:lineRule="auto"/>
        <w:ind w:firstLine="567"/>
        <w:jc w:val="both"/>
        <w:rPr>
          <w:rFonts w:ascii="Times New Roman" w:eastAsia="Times New Roman" w:hAnsi="Times New Roman" w:cs="Times New Roman"/>
          <w:highlight w:val="white"/>
          <w:bdr w:val="none" w:sz="0" w:space="0" w:color="auto"/>
        </w:rPr>
      </w:pPr>
      <w:r w:rsidRPr="000179C8">
        <w:rPr>
          <w:rFonts w:ascii="Times New Roman" w:eastAsia="Times New Roman" w:hAnsi="Times New Roman" w:cs="Times New Roman"/>
          <w:highlight w:val="white"/>
          <w:bdr w:val="none" w:sz="0" w:space="0" w:color="auto"/>
        </w:rPr>
        <w:t>7.1. Система должна обеспечивать круглосуточную возможность осуществления соединений с целью передачи информации.</w:t>
      </w:r>
    </w:p>
    <w:p w:rsidR="002F7BFA" w:rsidRPr="000179C8" w:rsidRDefault="00AB39E4"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Pr>
          <w:rFonts w:ascii="Times New Roman" w:eastAsia="Times New Roman" w:hAnsi="Times New Roman" w:cs="Times New Roman"/>
          <w:highlight w:val="white"/>
          <w:bdr w:val="none" w:sz="0" w:space="0" w:color="auto"/>
        </w:rPr>
        <w:t>7.2</w:t>
      </w:r>
      <w:r w:rsidR="002F7BFA" w:rsidRPr="000179C8">
        <w:rPr>
          <w:rFonts w:ascii="Times New Roman" w:eastAsia="Times New Roman" w:hAnsi="Times New Roman" w:cs="Times New Roman"/>
          <w:highlight w:val="white"/>
          <w:bdr w:val="none" w:sz="0" w:space="0" w:color="auto"/>
        </w:rPr>
        <w:t>. В системе должен быть обеспечен канал передачи данных с пропускной способностью</w:t>
      </w:r>
      <w:r w:rsidR="00014C1D">
        <w:rPr>
          <w:rFonts w:ascii="Times New Roman" w:eastAsia="Times New Roman" w:hAnsi="Times New Roman" w:cs="Times New Roman"/>
          <w:highlight w:val="white"/>
          <w:bdr w:val="none" w:sz="0" w:space="0" w:color="auto"/>
        </w:rPr>
        <w:t>, позволяющий вести непрерывный просмотр видеоданных в режиме реального времени.</w:t>
      </w:r>
    </w:p>
    <w:p w:rsidR="002F7BFA" w:rsidRPr="000179C8" w:rsidRDefault="00AB39E4"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Pr>
          <w:rFonts w:ascii="Times New Roman" w:eastAsia="Times New Roman" w:hAnsi="Times New Roman" w:cs="Times New Roman"/>
          <w:highlight w:val="white"/>
          <w:bdr w:val="none" w:sz="0" w:space="0" w:color="auto"/>
        </w:rPr>
        <w:t>7.3</w:t>
      </w:r>
      <w:r w:rsidR="002F7BFA" w:rsidRPr="000179C8">
        <w:rPr>
          <w:rFonts w:ascii="Times New Roman" w:eastAsia="Times New Roman" w:hAnsi="Times New Roman" w:cs="Times New Roman"/>
          <w:highlight w:val="white"/>
          <w:bdr w:val="none" w:sz="0" w:space="0" w:color="auto"/>
        </w:rPr>
        <w:t>. Тип транспортной среды: IP/MPLS.</w:t>
      </w:r>
    </w:p>
    <w:p w:rsidR="002F7BFA" w:rsidRPr="000179C8" w:rsidRDefault="00AB39E4" w:rsidP="002F7BFA">
      <w:pPr>
        <w:pBdr>
          <w:bar w:val="none" w:sz="0" w:color="auto"/>
        </w:pBdr>
        <w:spacing w:after="0" w:line="240" w:lineRule="auto"/>
        <w:ind w:firstLine="567"/>
        <w:jc w:val="both"/>
        <w:rPr>
          <w:rFonts w:ascii="Times New Roman" w:eastAsia="Times New Roman" w:hAnsi="Times New Roman" w:cs="Times New Roman"/>
          <w:highlight w:val="white"/>
          <w:bdr w:val="none" w:sz="0" w:space="0" w:color="auto"/>
        </w:rPr>
      </w:pPr>
      <w:r>
        <w:rPr>
          <w:rFonts w:ascii="Times New Roman" w:eastAsia="Times New Roman" w:hAnsi="Times New Roman" w:cs="Times New Roman"/>
          <w:highlight w:val="white"/>
          <w:bdr w:val="none" w:sz="0" w:space="0" w:color="auto"/>
        </w:rPr>
        <w:t>7.4</w:t>
      </w:r>
      <w:r w:rsidR="002F7BFA" w:rsidRPr="000179C8">
        <w:rPr>
          <w:rFonts w:ascii="Times New Roman" w:eastAsia="Times New Roman" w:hAnsi="Times New Roman" w:cs="Times New Roman"/>
          <w:highlight w:val="white"/>
          <w:bdr w:val="none" w:sz="0" w:space="0" w:color="auto"/>
        </w:rPr>
        <w:t>. Сеть должна строиться с использованием сертифицированного каналообразующего оборудования, и должна быть снабжена системой мониторинга работоспособности основных элементов сети.</w:t>
      </w:r>
    </w:p>
    <w:p w:rsidR="002F7BFA" w:rsidRPr="000179C8" w:rsidRDefault="002F7BFA" w:rsidP="00F92ECB">
      <w:pPr>
        <w:pBdr>
          <w:bar w:val="none" w:sz="0" w:color="auto"/>
        </w:pBdr>
        <w:spacing w:after="0" w:line="240" w:lineRule="auto"/>
        <w:jc w:val="both"/>
        <w:rPr>
          <w:rFonts w:ascii="Times New Roman" w:eastAsia="Times New Roman" w:hAnsi="Times New Roman" w:cs="Times New Roman"/>
          <w:highlight w:val="white"/>
          <w:bdr w:val="none" w:sz="0" w:space="0" w:color="auto"/>
        </w:rPr>
      </w:pPr>
    </w:p>
    <w:p w:rsidR="002F7BFA" w:rsidRPr="000179C8" w:rsidRDefault="002F7BFA" w:rsidP="002F7BFA">
      <w:pPr>
        <w:pBdr>
          <w:bar w:val="none" w:sz="0" w:color="auto"/>
        </w:pBdr>
        <w:tabs>
          <w:tab w:val="left" w:pos="993"/>
        </w:tabs>
        <w:spacing w:after="0" w:line="240" w:lineRule="auto"/>
        <w:rPr>
          <w:rFonts w:ascii="Times New Roman" w:eastAsia="Times New Roman" w:hAnsi="Times New Roman" w:cs="Times New Roman"/>
          <w:bdr w:val="none" w:sz="0" w:space="0" w:color="auto"/>
        </w:rPr>
      </w:pPr>
    </w:p>
    <w:p w:rsidR="002F7BFA" w:rsidRPr="000179C8" w:rsidRDefault="002F7BFA" w:rsidP="002F7BF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Требование к архивированию</w:t>
      </w:r>
    </w:p>
    <w:p w:rsidR="002F7BFA" w:rsidRPr="000179C8" w:rsidRDefault="002F7BFA" w:rsidP="002F7BFA">
      <w:pPr>
        <w:pBdr>
          <w:bar w:val="none" w:sz="0" w:color="auto"/>
        </w:pBdr>
        <w:tabs>
          <w:tab w:val="left" w:pos="993"/>
        </w:tabs>
        <w:spacing w:after="0" w:line="240" w:lineRule="auto"/>
        <w:ind w:firstLine="567"/>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8.1.Должно быть обеспечено следующее архивирование </w:t>
      </w:r>
      <w:proofErr w:type="gramStart"/>
      <w:r w:rsidRPr="000179C8">
        <w:rPr>
          <w:rFonts w:ascii="Times New Roman" w:eastAsia="Times New Roman" w:hAnsi="Times New Roman" w:cs="Times New Roman"/>
          <w:bdr w:val="none" w:sz="0" w:space="0" w:color="auto"/>
        </w:rPr>
        <w:t>сжатого</w:t>
      </w:r>
      <w:proofErr w:type="gramEnd"/>
      <w:r w:rsidRPr="000179C8">
        <w:rPr>
          <w:rFonts w:ascii="Times New Roman" w:eastAsia="Times New Roman" w:hAnsi="Times New Roman" w:cs="Times New Roman"/>
          <w:bdr w:val="none" w:sz="0" w:space="0" w:color="auto"/>
        </w:rPr>
        <w:t xml:space="preserve"> видеопотока, регистрируемого видеокамерами:</w:t>
      </w:r>
    </w:p>
    <w:p w:rsidR="002F7BFA" w:rsidRPr="000179C8" w:rsidRDefault="002F7BFA" w:rsidP="002F7BF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алгоритм сжатия – H.264;</w:t>
      </w:r>
    </w:p>
    <w:p w:rsidR="002F7BFA" w:rsidRPr="000179C8" w:rsidRDefault="002F7BFA" w:rsidP="002F7BF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частота – не менее 25 кадров/с;</w:t>
      </w:r>
    </w:p>
    <w:p w:rsidR="002F7BFA" w:rsidRPr="000179C8" w:rsidRDefault="002F7BFA" w:rsidP="002F7BF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разрешение – исходное;</w:t>
      </w:r>
    </w:p>
    <w:p w:rsidR="002F7BFA" w:rsidRPr="000179C8" w:rsidRDefault="002F7BFA" w:rsidP="002F7BF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глубина архива – не менее 30 суток.</w:t>
      </w:r>
    </w:p>
    <w:p w:rsidR="002F7BFA" w:rsidRPr="000179C8" w:rsidRDefault="002F7BFA" w:rsidP="002F7BFA">
      <w:pPr>
        <w:pBdr>
          <w:bar w:val="none" w:sz="0" w:color="auto"/>
        </w:pBdr>
        <w:spacing w:after="0" w:line="240" w:lineRule="auto"/>
        <w:rPr>
          <w:rFonts w:ascii="Times New Roman" w:eastAsia="Times New Roman" w:hAnsi="Times New Roman" w:cs="Times New Roman"/>
          <w:bdr w:val="none" w:sz="0" w:space="0" w:color="auto"/>
        </w:rPr>
      </w:pPr>
    </w:p>
    <w:p w:rsidR="002F7BFA" w:rsidRPr="000179C8" w:rsidRDefault="002F7BFA" w:rsidP="002F7BF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Требования к видеопотоку</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9.1. Видеопоток должны иметь следующие характеристики:</w:t>
      </w:r>
    </w:p>
    <w:tbl>
      <w:tblPr>
        <w:tblW w:w="95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5467"/>
        <w:gridCol w:w="4111"/>
      </w:tblGrid>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Параметр</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Значение </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Протокол передачи видеопотока</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RTP/RTSP</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Транспортный протокол</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TCP</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Поддержка базового профиля H.264 (</w:t>
            </w:r>
            <w:proofErr w:type="spellStart"/>
            <w:r w:rsidRPr="000179C8">
              <w:rPr>
                <w:rFonts w:ascii="Times New Roman" w:eastAsia="Times New Roman" w:hAnsi="Times New Roman" w:cs="Times New Roman"/>
                <w:bdr w:val="none" w:sz="0" w:space="0" w:color="auto"/>
              </w:rPr>
              <w:t>Baselineprofile</w:t>
            </w:r>
            <w:proofErr w:type="spellEnd"/>
            <w:r w:rsidRPr="000179C8">
              <w:rPr>
                <w:rFonts w:ascii="Times New Roman" w:eastAsia="Times New Roman" w:hAnsi="Times New Roman" w:cs="Times New Roman"/>
                <w:bdr w:val="none" w:sz="0" w:space="0" w:color="auto"/>
              </w:rPr>
              <w:t>)</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Наличие</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Поддержка базового профиля H.264 (</w:t>
            </w:r>
            <w:proofErr w:type="spellStart"/>
            <w:r w:rsidRPr="000179C8">
              <w:rPr>
                <w:rFonts w:ascii="Times New Roman" w:eastAsia="Times New Roman" w:hAnsi="Times New Roman" w:cs="Times New Roman"/>
                <w:bdr w:val="none" w:sz="0" w:space="0" w:color="auto"/>
              </w:rPr>
              <w:t>Mainprofile</w:t>
            </w:r>
            <w:proofErr w:type="spellEnd"/>
            <w:r w:rsidRPr="000179C8">
              <w:rPr>
                <w:rFonts w:ascii="Times New Roman" w:eastAsia="Times New Roman" w:hAnsi="Times New Roman" w:cs="Times New Roman"/>
                <w:bdr w:val="none" w:sz="0" w:space="0" w:color="auto"/>
              </w:rPr>
              <w:t>)</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Наличие</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Количество одновременно передаваемых потоков </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Не менее двух (основной, </w:t>
            </w:r>
            <w:proofErr w:type="spellStart"/>
            <w:r w:rsidRPr="000179C8">
              <w:rPr>
                <w:rFonts w:ascii="Times New Roman" w:eastAsia="Times New Roman" w:hAnsi="Times New Roman" w:cs="Times New Roman"/>
                <w:bdr w:val="none" w:sz="0" w:space="0" w:color="auto"/>
              </w:rPr>
              <w:t>субпоток</w:t>
            </w:r>
            <w:proofErr w:type="spellEnd"/>
            <w:r w:rsidRPr="000179C8">
              <w:rPr>
                <w:rFonts w:ascii="Times New Roman" w:eastAsia="Times New Roman" w:hAnsi="Times New Roman" w:cs="Times New Roman"/>
                <w:bdr w:val="none" w:sz="0" w:space="0" w:color="auto"/>
              </w:rPr>
              <w:t>)</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Разрешение основного видеопотока</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1920×1080 пикселей</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Скорость передачи основного потока</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F92ECB"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Не менее 2</w:t>
            </w:r>
            <w:r w:rsidR="002F7BFA" w:rsidRPr="000179C8">
              <w:rPr>
                <w:rFonts w:ascii="Times New Roman" w:eastAsia="Times New Roman" w:hAnsi="Times New Roman" w:cs="Times New Roman"/>
                <w:bdr w:val="none" w:sz="0" w:space="0" w:color="auto"/>
              </w:rPr>
              <w:t xml:space="preserve"> Мбит/сек</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Количество кадров основного потока</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25 Кадров/сек</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lastRenderedPageBreak/>
              <w:t xml:space="preserve">Разрешение </w:t>
            </w:r>
            <w:proofErr w:type="spellStart"/>
            <w:r w:rsidRPr="000179C8">
              <w:rPr>
                <w:rFonts w:ascii="Times New Roman" w:eastAsia="Times New Roman" w:hAnsi="Times New Roman" w:cs="Times New Roman"/>
                <w:bdr w:val="none" w:sz="0" w:space="0" w:color="auto"/>
              </w:rPr>
              <w:t>субпотока</w:t>
            </w:r>
            <w:proofErr w:type="spellEnd"/>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704х546 пикселей</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Скорость передачи </w:t>
            </w:r>
            <w:proofErr w:type="spellStart"/>
            <w:r w:rsidRPr="000179C8">
              <w:rPr>
                <w:rFonts w:ascii="Times New Roman" w:eastAsia="Times New Roman" w:hAnsi="Times New Roman" w:cs="Times New Roman"/>
                <w:bdr w:val="none" w:sz="0" w:space="0" w:color="auto"/>
              </w:rPr>
              <w:t>субпотока</w:t>
            </w:r>
            <w:proofErr w:type="spellEnd"/>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256 Кбит/сек</w:t>
            </w:r>
          </w:p>
        </w:tc>
      </w:tr>
      <w:tr w:rsidR="002F7BFA" w:rsidRPr="000179C8" w:rsidTr="00D87FFB">
        <w:trPr>
          <w:trHeight w:val="20"/>
        </w:trPr>
        <w:tc>
          <w:tcPr>
            <w:tcW w:w="54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Количество кадров </w:t>
            </w:r>
            <w:proofErr w:type="spellStart"/>
            <w:r w:rsidRPr="000179C8">
              <w:rPr>
                <w:rFonts w:ascii="Times New Roman" w:eastAsia="Times New Roman" w:hAnsi="Times New Roman" w:cs="Times New Roman"/>
                <w:bdr w:val="none" w:sz="0" w:space="0" w:color="auto"/>
              </w:rPr>
              <w:t>субпотока</w:t>
            </w:r>
            <w:proofErr w:type="spellEnd"/>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F7BFA" w:rsidRPr="000179C8" w:rsidRDefault="002F7BFA" w:rsidP="00D87FFB">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Не менее 25 Кадров/сек</w:t>
            </w:r>
          </w:p>
        </w:tc>
      </w:tr>
    </w:tbl>
    <w:p w:rsidR="002F7BFA" w:rsidRPr="000179C8" w:rsidRDefault="002F7BFA" w:rsidP="002F7BFA">
      <w:pPr>
        <w:pBdr>
          <w:bar w:val="none" w:sz="0" w:color="auto"/>
        </w:pBdr>
        <w:spacing w:after="0" w:line="240" w:lineRule="auto"/>
        <w:rPr>
          <w:rFonts w:ascii="Times New Roman" w:eastAsia="Times New Roman" w:hAnsi="Times New Roman" w:cs="Times New Roman"/>
          <w:bdr w:val="none" w:sz="0" w:space="0" w:color="auto"/>
        </w:rPr>
      </w:pPr>
    </w:p>
    <w:p w:rsidR="002F7BFA" w:rsidRPr="000179C8" w:rsidRDefault="002F7BFA" w:rsidP="002F7BFA">
      <w:pPr>
        <w:pBdr>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10. Требования к программному обеспечению</w:t>
      </w:r>
    </w:p>
    <w:p w:rsidR="002F7BFA" w:rsidRPr="000179C8" w:rsidRDefault="002F7BFA" w:rsidP="002F7BFA">
      <w:pPr>
        <w:pBdr>
          <w:bar w:val="none" w:sz="0" w:color="auto"/>
        </w:pBdr>
        <w:spacing w:after="0" w:line="240" w:lineRule="auto"/>
        <w:ind w:firstLine="708"/>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10.1. Программное обеспечение (ПО) предназначено для приема и обработки (кодирование, сжатие) видеопотока от камер из состава подсистемы видеонаблюдения и его отображения с использованием интерфейса пользователя. Интерфейс пользователя должен обеспечивать выполнение следующих функций: </w:t>
      </w:r>
    </w:p>
    <w:p w:rsidR="002F7BFA" w:rsidRPr="000179C8" w:rsidRDefault="002F7BFA" w:rsidP="002F7BFA">
      <w:pPr>
        <w:numPr>
          <w:ilvl w:val="0"/>
          <w:numId w:val="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 xml:space="preserve">настройку и конфигурирование ПО подсистемы видеонаблюдения; </w:t>
      </w:r>
    </w:p>
    <w:p w:rsidR="002F7BFA" w:rsidRPr="000179C8" w:rsidRDefault="002F7BFA" w:rsidP="002F7BFA">
      <w:pPr>
        <w:numPr>
          <w:ilvl w:val="0"/>
          <w:numId w:val="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 xml:space="preserve">выборочный просмотр видеопотока регистрируемого камерами из состава подсистемы видеонаблюдения в режиме реального времени; </w:t>
      </w:r>
    </w:p>
    <w:p w:rsidR="002F7BFA" w:rsidRPr="000179C8" w:rsidRDefault="002F7BFA" w:rsidP="002F7BFA">
      <w:pPr>
        <w:numPr>
          <w:ilvl w:val="0"/>
          <w:numId w:val="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 xml:space="preserve">просмотр и выгрузка видеоархива; </w:t>
      </w:r>
    </w:p>
    <w:p w:rsidR="002F7BFA" w:rsidRPr="000179C8" w:rsidRDefault="002F7BFA" w:rsidP="002F7BFA">
      <w:pPr>
        <w:numPr>
          <w:ilvl w:val="0"/>
          <w:numId w:val="3"/>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color w:val="auto"/>
          <w:bdr w:val="none" w:sz="0" w:space="0" w:color="auto"/>
        </w:rPr>
      </w:pPr>
      <w:r w:rsidRPr="000179C8">
        <w:rPr>
          <w:rFonts w:ascii="Times New Roman" w:eastAsia="Times New Roman" w:hAnsi="Times New Roman" w:cs="Times New Roman"/>
          <w:bdr w:val="none" w:sz="0" w:space="0" w:color="auto"/>
        </w:rPr>
        <w:t xml:space="preserve">поиск события в архиве видеозаписей по заданию оператора: по дате и времени. </w:t>
      </w:r>
    </w:p>
    <w:p w:rsidR="002F7BFA" w:rsidRPr="000179C8" w:rsidRDefault="002F7BFA" w:rsidP="002F7BFA">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708"/>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10.2. Подсистема хранения данных должна обеспечивать запись, хранение и выдачу результатов работы составных частей системы видеонаблюдения и хранить другие данные о работе СВН, включая: </w:t>
      </w:r>
    </w:p>
    <w:p w:rsidR="002F7BFA" w:rsidRPr="000179C8" w:rsidRDefault="002F7BFA" w:rsidP="002F7BFA">
      <w:pPr>
        <w:numPr>
          <w:ilvl w:val="0"/>
          <w:numId w:val="2"/>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сведения о действиях операторов СВН; </w:t>
      </w:r>
    </w:p>
    <w:p w:rsidR="002F7BFA" w:rsidRPr="000179C8" w:rsidRDefault="002F7BFA" w:rsidP="002F7BFA">
      <w:pPr>
        <w:numPr>
          <w:ilvl w:val="0"/>
          <w:numId w:val="2"/>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сведения о сбоях работы оборудования и компонентов СВН, вне зависимости от природы сбоев. </w:t>
      </w:r>
    </w:p>
    <w:p w:rsidR="002F7BFA" w:rsidRPr="000179C8" w:rsidRDefault="002F7BFA" w:rsidP="002F7BFA">
      <w:pPr>
        <w:numPr>
          <w:ilvl w:val="0"/>
          <w:numId w:val="2"/>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мониторинг состояния оборудования и соединения с источниками видеоданных. </w:t>
      </w:r>
    </w:p>
    <w:p w:rsidR="002F7BFA" w:rsidRPr="000179C8" w:rsidRDefault="002F7BFA" w:rsidP="002F7BFA">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720"/>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10.3. Интерфейс пользователя должен содержать модули:</w:t>
      </w:r>
    </w:p>
    <w:p w:rsidR="002F7BFA" w:rsidRPr="000179C8" w:rsidRDefault="002F7BFA" w:rsidP="002F7BFA">
      <w:pPr>
        <w:numPr>
          <w:ilvl w:val="0"/>
          <w:numId w:val="6"/>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    интерактивная карта со всеми подключенными объектами к СВН</w:t>
      </w:r>
    </w:p>
    <w:p w:rsidR="002F7BFA" w:rsidRPr="000179C8" w:rsidRDefault="002F7BFA" w:rsidP="002F7BFA">
      <w:pPr>
        <w:numPr>
          <w:ilvl w:val="0"/>
          <w:numId w:val="6"/>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    видеостена</w:t>
      </w:r>
    </w:p>
    <w:p w:rsidR="002F7BFA" w:rsidRPr="000179C8" w:rsidRDefault="002F7BFA" w:rsidP="002F7BFA">
      <w:pPr>
        <w:numPr>
          <w:ilvl w:val="0"/>
          <w:numId w:val="6"/>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    модуль группировки по объектам</w:t>
      </w:r>
    </w:p>
    <w:p w:rsidR="002F7BFA" w:rsidRPr="000179C8" w:rsidRDefault="002F7BFA" w:rsidP="002F7BFA">
      <w:pPr>
        <w:numPr>
          <w:ilvl w:val="0"/>
          <w:numId w:val="6"/>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    обратная связь</w:t>
      </w:r>
    </w:p>
    <w:p w:rsidR="002F7BFA" w:rsidRPr="000179C8" w:rsidRDefault="002F7BFA" w:rsidP="002F7BFA">
      <w:pPr>
        <w:numPr>
          <w:ilvl w:val="0"/>
          <w:numId w:val="6"/>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851" w:hanging="142"/>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    избранное</w:t>
      </w:r>
    </w:p>
    <w:p w:rsidR="002F7BFA" w:rsidRPr="000179C8" w:rsidRDefault="002F7BFA" w:rsidP="002F7BFA">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10.4.  ПО должно предусматривать разграничение прав доступа к функциям системы для различных групп пользователей. Программное обеспечение серверного оборудования должно иметь возможность выполняться под операционными системами из семейства LINUX. Программное обеспечение операторов должно выполняться под операционной системой </w:t>
      </w:r>
      <w:proofErr w:type="spellStart"/>
      <w:r w:rsidRPr="000179C8">
        <w:rPr>
          <w:rFonts w:ascii="Times New Roman" w:eastAsia="Times New Roman" w:hAnsi="Times New Roman" w:cs="Times New Roman"/>
          <w:bdr w:val="none" w:sz="0" w:space="0" w:color="auto"/>
        </w:rPr>
        <w:t>Windows</w:t>
      </w:r>
      <w:proofErr w:type="spellEnd"/>
      <w:r w:rsidRPr="000179C8">
        <w:rPr>
          <w:rFonts w:ascii="Times New Roman" w:eastAsia="Times New Roman" w:hAnsi="Times New Roman" w:cs="Times New Roman"/>
          <w:bdr w:val="none" w:sz="0" w:space="0" w:color="auto"/>
        </w:rPr>
        <w:t xml:space="preserve"> версии не ниже 7. </w:t>
      </w:r>
    </w:p>
    <w:p w:rsidR="002F7BFA" w:rsidRPr="000179C8" w:rsidRDefault="002F7BFA" w:rsidP="002F7BFA">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10.5. Функционирование базы данных должно обеспечиваться под управлением операционной системы, совместимой с ПО СВН. </w:t>
      </w:r>
    </w:p>
    <w:p w:rsidR="002F7BFA" w:rsidRPr="000179C8" w:rsidRDefault="002F7BFA" w:rsidP="002F7BFA">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10.6. Для обеспечения функционирования СВН могут использоваться дополнительные прикладные программы. Взаимодействие систем в составе СВН должно осуществляться на основе открытых стандартов сетевого видео. </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10.7. Видеокамеры и компоненты СВН должны взаимодействовать через открытые программные интерфейсы: </w:t>
      </w:r>
    </w:p>
    <w:p w:rsidR="002F7BFA" w:rsidRPr="000179C8" w:rsidRDefault="002F7BFA" w:rsidP="002F7BFA">
      <w:pPr>
        <w:numPr>
          <w:ilvl w:val="0"/>
          <w:numId w:val="4"/>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ONVIF версии не ниже 2.2; </w:t>
      </w:r>
    </w:p>
    <w:p w:rsidR="002F7BFA" w:rsidRPr="000179C8" w:rsidRDefault="002F7BFA" w:rsidP="002F7BFA">
      <w:pPr>
        <w:numPr>
          <w:ilvl w:val="0"/>
          <w:numId w:val="4"/>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bdr w:val="none" w:sz="0" w:space="0" w:color="auto"/>
        </w:rPr>
      </w:pPr>
      <w:proofErr w:type="spellStart"/>
      <w:r w:rsidRPr="000179C8">
        <w:rPr>
          <w:rFonts w:ascii="Times New Roman" w:eastAsia="Times New Roman" w:hAnsi="Times New Roman" w:cs="Times New Roman"/>
          <w:bdr w:val="none" w:sz="0" w:space="0" w:color="auto"/>
        </w:rPr>
        <w:t>GigEVision</w:t>
      </w:r>
      <w:proofErr w:type="spellEnd"/>
      <w:r w:rsidRPr="000179C8">
        <w:rPr>
          <w:rFonts w:ascii="Times New Roman" w:eastAsia="Times New Roman" w:hAnsi="Times New Roman" w:cs="Times New Roman"/>
          <w:bdr w:val="none" w:sz="0" w:space="0" w:color="auto"/>
        </w:rPr>
        <w:t xml:space="preserve"> версии не ниже 2.0; </w:t>
      </w:r>
    </w:p>
    <w:p w:rsidR="002F7BFA" w:rsidRPr="000179C8" w:rsidRDefault="002F7BFA" w:rsidP="002F7BFA">
      <w:pPr>
        <w:numPr>
          <w:ilvl w:val="0"/>
          <w:numId w:val="4"/>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left="1134"/>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HD-SDI (SMPTE 292М). </w:t>
      </w:r>
    </w:p>
    <w:p w:rsidR="002F7BFA" w:rsidRPr="000179C8" w:rsidRDefault="002F7BFA" w:rsidP="002F7BFA">
      <w:pPr>
        <w:pBdr>
          <w:bar w:val="none" w:sz="0" w:color="auto"/>
        </w:pBdr>
        <w:spacing w:after="0" w:line="240" w:lineRule="auto"/>
        <w:ind w:firstLine="560"/>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10.8. В состав подсистемы видеонаблюдения могут входить другие дополнительные технические средства, обеспечивающие размещение и её функционирование. Точный состав, конфигурация и технические характеристики оборудования в составе подсистемы видеонаблюдения, не определенные настоящими требованиями, уточняются на этапе проектирования системы в зависимости от условий эксплуатации на конкретном объекте. </w:t>
      </w:r>
    </w:p>
    <w:p w:rsidR="002F7BFA" w:rsidRPr="000179C8" w:rsidRDefault="002F7BFA" w:rsidP="002F7BFA">
      <w:pPr>
        <w:pBdr>
          <w:bar w:val="none" w:sz="0" w:color="auto"/>
        </w:pBdr>
        <w:spacing w:after="0" w:line="240" w:lineRule="auto"/>
        <w:rPr>
          <w:rFonts w:ascii="Times New Roman" w:eastAsia="Times New Roman" w:hAnsi="Times New Roman" w:cs="Times New Roman"/>
          <w:bdr w:val="none" w:sz="0" w:space="0" w:color="auto"/>
        </w:rPr>
      </w:pPr>
    </w:p>
    <w:p w:rsidR="002F7BFA" w:rsidRPr="000179C8" w:rsidRDefault="002F7BFA" w:rsidP="002F7BFA">
      <w:pPr>
        <w:pBdr>
          <w:bar w:val="none" w:sz="0" w:color="auto"/>
        </w:pBdr>
        <w:spacing w:after="0"/>
        <w:ind w:left="360"/>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11. Требования к электропитанию коммутационного узла</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 xml:space="preserve">11.1. Каждый коммутационный узел, к которому подключена камера, должен быть защищен от перепадов напряжения и должен быть обеспечен источником бесперебойного питания, позволяющий обеспечивать работу узла не менее, чем 30 минут. </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11.2. Переход на резервное питание должен происходить автоматически без нарушения установленных режимов работы и функционального состояния системы.</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11.3. После длительного (вызвавшего отключение системы)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 заданными до отключения электропитания.</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p>
    <w:p w:rsidR="002F7BFA" w:rsidRPr="000179C8" w:rsidRDefault="002F7BFA" w:rsidP="002F7BFA">
      <w:pPr>
        <w:pBdr>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12. Сертификаты</w:t>
      </w:r>
    </w:p>
    <w:p w:rsidR="002F7BFA" w:rsidRPr="000179C8" w:rsidRDefault="002F7BFA" w:rsidP="002F7BFA">
      <w:pPr>
        <w:pBdr>
          <w:bar w:val="none" w:sz="0" w:color="auto"/>
        </w:pBdr>
        <w:spacing w:after="0" w:line="240" w:lineRule="auto"/>
        <w:ind w:firstLine="567"/>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lastRenderedPageBreak/>
        <w:t>12.1. Все оборудование должно быть сертифицированным или подлежащим декларированию соответствия, и вся техническая документация (спецификации, описания, инструкции) должна быть написана на русском языке</w:t>
      </w:r>
    </w:p>
    <w:p w:rsidR="002F7BFA" w:rsidRPr="000179C8" w:rsidRDefault="002F7BFA" w:rsidP="002F7BFA">
      <w:pPr>
        <w:pBdr>
          <w:bar w:val="none" w:sz="0" w:color="auto"/>
        </w:pBdr>
        <w:spacing w:after="0" w:line="240" w:lineRule="auto"/>
        <w:ind w:firstLine="567"/>
        <w:rPr>
          <w:rFonts w:ascii="Times New Roman" w:eastAsia="Times New Roman" w:hAnsi="Times New Roman" w:cs="Times New Roman"/>
          <w:bdr w:val="none" w:sz="0" w:space="0" w:color="auto"/>
        </w:rPr>
      </w:pPr>
    </w:p>
    <w:p w:rsidR="002F7BFA" w:rsidRPr="000179C8" w:rsidRDefault="002F7BFA" w:rsidP="002F7BFA">
      <w:pPr>
        <w:pBdr>
          <w:bar w:val="none" w:sz="0" w:color="auto"/>
        </w:pBdr>
        <w:spacing w:after="0" w:line="240" w:lineRule="auto"/>
        <w:jc w:val="center"/>
        <w:rPr>
          <w:rFonts w:ascii="Times New Roman" w:eastAsia="Times New Roman" w:hAnsi="Times New Roman" w:cs="Times New Roman"/>
          <w:bdr w:val="none" w:sz="0" w:space="0" w:color="auto"/>
        </w:rPr>
      </w:pPr>
      <w:r w:rsidRPr="000179C8">
        <w:rPr>
          <w:rFonts w:ascii="Times New Roman" w:eastAsia="Times New Roman" w:hAnsi="Times New Roman" w:cs="Times New Roman"/>
          <w:b/>
          <w:bdr w:val="none" w:sz="0" w:space="0" w:color="auto"/>
        </w:rPr>
        <w:t>13. Дополнительные условия</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13.1. Габаритные размеры систем должны обеспечивать возможность их транспортирования через типовые проемы зданий, а также сборку, установку и монтаж на месте эксплуатации.</w:t>
      </w:r>
    </w:p>
    <w:p w:rsidR="002F7BFA" w:rsidRPr="000179C8" w:rsidRDefault="002F7BFA" w:rsidP="002F7BFA">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13.2. Конструкция системы должна обеспечивать:</w:t>
      </w:r>
    </w:p>
    <w:p w:rsidR="002F7BFA" w:rsidRPr="000179C8" w:rsidRDefault="002F7BFA" w:rsidP="002F7B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взаимозаменяемость сменных однотипных составных частей;</w:t>
      </w:r>
    </w:p>
    <w:p w:rsidR="002F7BFA" w:rsidRPr="000179C8" w:rsidRDefault="002F7BFA" w:rsidP="002F7B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удобство технического обслуживания и эксплуатации;</w:t>
      </w:r>
    </w:p>
    <w:p w:rsidR="002F7BFA" w:rsidRPr="000179C8" w:rsidRDefault="002F7BFA" w:rsidP="002F7B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ремонтопригодность;</w:t>
      </w:r>
    </w:p>
    <w:p w:rsidR="002F7BFA" w:rsidRPr="000179C8" w:rsidRDefault="002F7BFA" w:rsidP="002F7B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защиту от несанкционированного доступа к элементам управления параметрами;</w:t>
      </w:r>
    </w:p>
    <w:p w:rsidR="002F7BFA" w:rsidRDefault="002F7BFA" w:rsidP="002F7BF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993"/>
        <w:jc w:val="both"/>
        <w:rPr>
          <w:rFonts w:ascii="Times New Roman" w:eastAsia="Times New Roman" w:hAnsi="Times New Roman" w:cs="Times New Roman"/>
          <w:bdr w:val="none" w:sz="0" w:space="0" w:color="auto"/>
        </w:rPr>
      </w:pPr>
      <w:r w:rsidRPr="000179C8">
        <w:rPr>
          <w:rFonts w:ascii="Times New Roman" w:eastAsia="Times New Roman" w:hAnsi="Times New Roman" w:cs="Times New Roman"/>
          <w:bdr w:val="none" w:sz="0" w:space="0" w:color="auto"/>
        </w:rPr>
        <w:t>санкционированный доступ ко всем элементам, узлам и блокам, требующим регулирования или замены в процессе эксплуатации.</w:t>
      </w:r>
    </w:p>
    <w:p w:rsidR="0015393D" w:rsidRDefault="0015393D" w:rsidP="0015393D">
      <w:pPr>
        <w:spacing w:after="0" w:line="240" w:lineRule="auto"/>
        <w:ind w:firstLine="567"/>
        <w:jc w:val="both"/>
        <w:rPr>
          <w:rFonts w:ascii="Times New Roman" w:eastAsia="Times New Roman" w:hAnsi="Times New Roman" w:cs="Times New Roman"/>
          <w:bdr w:val="none" w:sz="0" w:space="0" w:color="auto"/>
        </w:rPr>
      </w:pPr>
      <w:r>
        <w:rPr>
          <w:rFonts w:ascii="Times New Roman" w:eastAsia="Times New Roman" w:hAnsi="Times New Roman" w:cs="Times New Roman"/>
        </w:rPr>
        <w:t xml:space="preserve">13.3. Интеграция в действующее на территории Ульяновской области единое программное обеспечение по видеонаблюдению </w:t>
      </w:r>
      <w:r w:rsidR="006E7520">
        <w:rPr>
          <w:rFonts w:ascii="Times New Roman" w:eastAsia="Times New Roman" w:hAnsi="Times New Roman" w:cs="Times New Roman"/>
        </w:rPr>
        <w:t>с момента оказания услуги</w:t>
      </w:r>
      <w:bookmarkStart w:id="1" w:name="_GoBack"/>
      <w:bookmarkEnd w:id="1"/>
      <w:r>
        <w:rPr>
          <w:rFonts w:ascii="Times New Roman" w:eastAsia="Times New Roman" w:hAnsi="Times New Roman" w:cs="Times New Roman"/>
        </w:rPr>
        <w:t xml:space="preserve">с возможностью удаленного доступа органов исполнительной власти Российской федерации по Ульяновской области: </w:t>
      </w:r>
    </w:p>
    <w:p w:rsidR="0015393D" w:rsidRDefault="0015393D" w:rsidP="0015393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222222"/>
          <w:shd w:val="clear" w:color="auto" w:fill="FFFFFF"/>
        </w:rPr>
      </w:pPr>
      <w:r>
        <w:rPr>
          <w:rFonts w:ascii="Times New Roman" w:hAnsi="Times New Roman" w:cs="Times New Roman"/>
          <w:bCs/>
          <w:color w:val="222222"/>
          <w:shd w:val="clear" w:color="auto" w:fill="FFFFFF"/>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cs="Times New Roman"/>
          <w:color w:val="222222"/>
          <w:shd w:val="clear" w:color="auto" w:fill="FFFFFF"/>
        </w:rPr>
        <w:t>;</w:t>
      </w:r>
    </w:p>
    <w:p w:rsidR="0015393D" w:rsidRDefault="0015393D" w:rsidP="0015393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222222"/>
          <w:shd w:val="clear" w:color="auto" w:fill="FFFFFF"/>
        </w:rPr>
      </w:pPr>
      <w:r>
        <w:rPr>
          <w:rFonts w:ascii="Times New Roman" w:hAnsi="Times New Roman" w:cs="Times New Roman"/>
          <w:bCs/>
          <w:color w:val="222222"/>
          <w:shd w:val="clear" w:color="auto" w:fill="FFFFFF"/>
        </w:rPr>
        <w:t>Федеральная служба безопасности Российской Федерации;</w:t>
      </w:r>
    </w:p>
    <w:p w:rsidR="0015393D" w:rsidRPr="0015393D" w:rsidRDefault="0015393D" w:rsidP="0015393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222222"/>
          <w:shd w:val="clear" w:color="auto" w:fill="FFFFFF"/>
        </w:rPr>
      </w:pPr>
      <w:r>
        <w:rPr>
          <w:rFonts w:ascii="Times New Roman" w:hAnsi="Times New Roman" w:cs="Times New Roman"/>
          <w:bCs/>
          <w:color w:val="222222"/>
          <w:shd w:val="clear" w:color="auto" w:fill="FFFFFF"/>
        </w:rPr>
        <w:t>Министерство внутренних дел Российской Федерации</w:t>
      </w:r>
      <w:r w:rsidR="0008298A">
        <w:rPr>
          <w:rFonts w:ascii="Times New Roman" w:hAnsi="Times New Roman" w:cs="Times New Roman"/>
          <w:bCs/>
          <w:color w:val="222222"/>
          <w:shd w:val="clear" w:color="auto" w:fill="FFFFFF"/>
        </w:rPr>
        <w:t>.</w:t>
      </w:r>
      <w:r>
        <w:rPr>
          <w:rFonts w:ascii="Times New Roman" w:hAnsi="Times New Roman" w:cs="Times New Roman"/>
          <w:color w:val="222222"/>
          <w:shd w:val="clear" w:color="auto" w:fill="FFFFFF"/>
        </w:rPr>
        <w:t> </w:t>
      </w:r>
    </w:p>
    <w:p w:rsidR="002F7BFA" w:rsidRDefault="002F7BFA" w:rsidP="002F7BFA">
      <w:pPr>
        <w:pStyle w:val="a3"/>
        <w:spacing w:after="0" w:line="240" w:lineRule="auto"/>
        <w:ind w:left="0" w:firstLine="567"/>
        <w:jc w:val="both"/>
        <w:rPr>
          <w:rFonts w:ascii="Times New Roman" w:hAnsi="Times New Roman" w:cs="Times New Roman"/>
        </w:rPr>
      </w:pPr>
    </w:p>
    <w:p w:rsidR="002F7BFA" w:rsidRDefault="002F7BFA"/>
    <w:sectPr w:rsidR="002F7BFA" w:rsidSect="0015393D">
      <w:pgSz w:w="11906" w:h="16838"/>
      <w:pgMar w:top="709" w:right="849"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Arimo">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3F51"/>
    <w:multiLevelType w:val="multilevel"/>
    <w:tmpl w:val="A15254E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18"/>
        <w:szCs w:val="18"/>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2F102C89"/>
    <w:multiLevelType w:val="multilevel"/>
    <w:tmpl w:val="5EA444C2"/>
    <w:lvl w:ilvl="0">
      <w:start w:val="1"/>
      <w:numFmt w:val="bullet"/>
      <w:lvlText w:val="−"/>
      <w:lvlJc w:val="left"/>
      <w:pPr>
        <w:ind w:left="284" w:firstLine="425"/>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720" w:firstLine="14"/>
      </w:pPr>
      <w:rPr>
        <w:rFonts w:ascii="Arimo" w:eastAsia="Arimo" w:hAnsi="Arimo" w:cs="Arimo"/>
        <w:b w:val="0"/>
        <w:i w:val="0"/>
        <w:smallCaps w:val="0"/>
        <w:strike w:val="0"/>
        <w:color w:val="000000"/>
        <w:vertAlign w:val="baseline"/>
      </w:rPr>
    </w:lvl>
    <w:lvl w:ilvl="2">
      <w:start w:val="1"/>
      <w:numFmt w:val="bullet"/>
      <w:lvlText w:val="▪"/>
      <w:lvlJc w:val="left"/>
      <w:pPr>
        <w:ind w:left="1440" w:firstLine="26"/>
      </w:pPr>
      <w:rPr>
        <w:rFonts w:ascii="Arimo" w:eastAsia="Arimo" w:hAnsi="Arimo" w:cs="Arimo"/>
        <w:b w:val="0"/>
        <w:i w:val="0"/>
        <w:smallCaps w:val="0"/>
        <w:strike w:val="0"/>
        <w:color w:val="000000"/>
        <w:vertAlign w:val="baseline"/>
      </w:rPr>
    </w:lvl>
    <w:lvl w:ilvl="3">
      <w:start w:val="1"/>
      <w:numFmt w:val="bullet"/>
      <w:lvlText w:val="●"/>
      <w:lvlJc w:val="left"/>
      <w:pPr>
        <w:ind w:left="2160" w:firstLine="38"/>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2880" w:firstLine="50"/>
      </w:pPr>
      <w:rPr>
        <w:rFonts w:ascii="Arimo" w:eastAsia="Arimo" w:hAnsi="Arimo" w:cs="Arimo"/>
        <w:b w:val="0"/>
        <w:i w:val="0"/>
        <w:smallCaps w:val="0"/>
        <w:strike w:val="0"/>
        <w:color w:val="000000"/>
        <w:vertAlign w:val="baseline"/>
      </w:rPr>
    </w:lvl>
    <w:lvl w:ilvl="5">
      <w:start w:val="1"/>
      <w:numFmt w:val="bullet"/>
      <w:lvlText w:val="▪"/>
      <w:lvlJc w:val="left"/>
      <w:pPr>
        <w:ind w:left="3600" w:firstLine="62"/>
      </w:pPr>
      <w:rPr>
        <w:rFonts w:ascii="Arimo" w:eastAsia="Arimo" w:hAnsi="Arimo" w:cs="Arimo"/>
        <w:b w:val="0"/>
        <w:i w:val="0"/>
        <w:smallCaps w:val="0"/>
        <w:strike w:val="0"/>
        <w:color w:val="000000"/>
        <w:vertAlign w:val="baseline"/>
      </w:rPr>
    </w:lvl>
    <w:lvl w:ilvl="6">
      <w:start w:val="1"/>
      <w:numFmt w:val="bullet"/>
      <w:lvlText w:val="●"/>
      <w:lvlJc w:val="left"/>
      <w:pPr>
        <w:ind w:left="4320" w:firstLine="74"/>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040" w:firstLine="86"/>
      </w:pPr>
      <w:rPr>
        <w:rFonts w:ascii="Arimo" w:eastAsia="Arimo" w:hAnsi="Arimo" w:cs="Arimo"/>
        <w:b w:val="0"/>
        <w:i w:val="0"/>
        <w:smallCaps w:val="0"/>
        <w:strike w:val="0"/>
        <w:color w:val="000000"/>
        <w:vertAlign w:val="baseline"/>
      </w:rPr>
    </w:lvl>
    <w:lvl w:ilvl="8">
      <w:start w:val="1"/>
      <w:numFmt w:val="bullet"/>
      <w:lvlText w:val="▪"/>
      <w:lvlJc w:val="left"/>
      <w:pPr>
        <w:ind w:left="5760" w:firstLine="98"/>
      </w:pPr>
      <w:rPr>
        <w:rFonts w:ascii="Arimo" w:eastAsia="Arimo" w:hAnsi="Arimo" w:cs="Arimo"/>
        <w:b w:val="0"/>
        <w:i w:val="0"/>
        <w:smallCaps w:val="0"/>
        <w:strike w:val="0"/>
        <w:color w:val="000000"/>
        <w:vertAlign w:val="baseline"/>
      </w:rPr>
    </w:lvl>
  </w:abstractNum>
  <w:abstractNum w:abstractNumId="2">
    <w:nsid w:val="3AE0692A"/>
    <w:multiLevelType w:val="multilevel"/>
    <w:tmpl w:val="9990A6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4BED01E1"/>
    <w:multiLevelType w:val="multilevel"/>
    <w:tmpl w:val="97A65E84"/>
    <w:lvl w:ilvl="0">
      <w:start w:val="1"/>
      <w:numFmt w:val="bullet"/>
      <w:lvlText w:val="−"/>
      <w:lvlJc w:val="left"/>
      <w:pPr>
        <w:ind w:left="284" w:firstLine="425"/>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720" w:firstLine="14"/>
      </w:pPr>
      <w:rPr>
        <w:rFonts w:ascii="Arimo" w:eastAsia="Arimo" w:hAnsi="Arimo" w:cs="Arimo"/>
        <w:b w:val="0"/>
        <w:i w:val="0"/>
        <w:smallCaps w:val="0"/>
        <w:strike w:val="0"/>
        <w:color w:val="000000"/>
        <w:vertAlign w:val="baseline"/>
      </w:rPr>
    </w:lvl>
    <w:lvl w:ilvl="2">
      <w:start w:val="1"/>
      <w:numFmt w:val="bullet"/>
      <w:lvlText w:val="▪"/>
      <w:lvlJc w:val="left"/>
      <w:pPr>
        <w:ind w:left="1440" w:firstLine="26"/>
      </w:pPr>
      <w:rPr>
        <w:rFonts w:ascii="Arimo" w:eastAsia="Arimo" w:hAnsi="Arimo" w:cs="Arimo"/>
        <w:b w:val="0"/>
        <w:i w:val="0"/>
        <w:smallCaps w:val="0"/>
        <w:strike w:val="0"/>
        <w:color w:val="000000"/>
        <w:vertAlign w:val="baseline"/>
      </w:rPr>
    </w:lvl>
    <w:lvl w:ilvl="3">
      <w:start w:val="1"/>
      <w:numFmt w:val="bullet"/>
      <w:lvlText w:val="●"/>
      <w:lvlJc w:val="left"/>
      <w:pPr>
        <w:ind w:left="2160" w:firstLine="38"/>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2880" w:firstLine="50"/>
      </w:pPr>
      <w:rPr>
        <w:rFonts w:ascii="Arimo" w:eastAsia="Arimo" w:hAnsi="Arimo" w:cs="Arimo"/>
        <w:b w:val="0"/>
        <w:i w:val="0"/>
        <w:smallCaps w:val="0"/>
        <w:strike w:val="0"/>
        <w:color w:val="000000"/>
        <w:vertAlign w:val="baseline"/>
      </w:rPr>
    </w:lvl>
    <w:lvl w:ilvl="5">
      <w:start w:val="1"/>
      <w:numFmt w:val="bullet"/>
      <w:lvlText w:val="▪"/>
      <w:lvlJc w:val="left"/>
      <w:pPr>
        <w:ind w:left="3600" w:firstLine="62"/>
      </w:pPr>
      <w:rPr>
        <w:rFonts w:ascii="Arimo" w:eastAsia="Arimo" w:hAnsi="Arimo" w:cs="Arimo"/>
        <w:b w:val="0"/>
        <w:i w:val="0"/>
        <w:smallCaps w:val="0"/>
        <w:strike w:val="0"/>
        <w:color w:val="000000"/>
        <w:vertAlign w:val="baseline"/>
      </w:rPr>
    </w:lvl>
    <w:lvl w:ilvl="6">
      <w:start w:val="1"/>
      <w:numFmt w:val="bullet"/>
      <w:lvlText w:val="●"/>
      <w:lvlJc w:val="left"/>
      <w:pPr>
        <w:ind w:left="4320" w:firstLine="74"/>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040" w:firstLine="86"/>
      </w:pPr>
      <w:rPr>
        <w:rFonts w:ascii="Arimo" w:eastAsia="Arimo" w:hAnsi="Arimo" w:cs="Arimo"/>
        <w:b w:val="0"/>
        <w:i w:val="0"/>
        <w:smallCaps w:val="0"/>
        <w:strike w:val="0"/>
        <w:color w:val="000000"/>
        <w:vertAlign w:val="baseline"/>
      </w:rPr>
    </w:lvl>
    <w:lvl w:ilvl="8">
      <w:start w:val="1"/>
      <w:numFmt w:val="bullet"/>
      <w:lvlText w:val="▪"/>
      <w:lvlJc w:val="left"/>
      <w:pPr>
        <w:ind w:left="5760" w:firstLine="98"/>
      </w:pPr>
      <w:rPr>
        <w:rFonts w:ascii="Arimo" w:eastAsia="Arimo" w:hAnsi="Arimo" w:cs="Arimo"/>
        <w:b w:val="0"/>
        <w:i w:val="0"/>
        <w:smallCaps w:val="0"/>
        <w:strike w:val="0"/>
        <w:color w:val="000000"/>
        <w:vertAlign w:val="baseline"/>
      </w:rPr>
    </w:lvl>
  </w:abstractNum>
  <w:abstractNum w:abstractNumId="4">
    <w:nsid w:val="5646047F"/>
    <w:multiLevelType w:val="multilevel"/>
    <w:tmpl w:val="70BE9A3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5">
    <w:nsid w:val="6727040B"/>
    <w:multiLevelType w:val="multilevel"/>
    <w:tmpl w:val="9B9E67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0FE0F00"/>
    <w:multiLevelType w:val="multilevel"/>
    <w:tmpl w:val="29005EAE"/>
    <w:lvl w:ilvl="0">
      <w:start w:val="1"/>
      <w:numFmt w:val="decimal"/>
      <w:lvlText w:val="%1."/>
      <w:lvlJc w:val="left"/>
      <w:pPr>
        <w:ind w:left="72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1701" w:hanging="72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456" w:hanging="1439"/>
      </w:pPr>
      <w:rPr>
        <w:vertAlign w:val="baseline"/>
      </w:rPr>
    </w:lvl>
  </w:abstractNum>
  <w:abstractNum w:abstractNumId="7">
    <w:nsid w:val="71E651A1"/>
    <w:multiLevelType w:val="multilevel"/>
    <w:tmpl w:val="96523DE2"/>
    <w:lvl w:ilvl="0">
      <w:start w:val="1"/>
      <w:numFmt w:val="bullet"/>
      <w:lvlText w:val="−"/>
      <w:lvlJc w:val="left"/>
      <w:pPr>
        <w:ind w:left="720" w:hanging="360"/>
      </w:pPr>
      <w:rPr>
        <w:rFonts w:ascii="Noto Sans Symbols" w:eastAsia="Noto Sans Symbols" w:hAnsi="Noto Sans Symbols" w:cs="Noto Sans Symbols"/>
        <w:sz w:val="18"/>
        <w:szCs w:val="18"/>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3"/>
  </w:num>
  <w:num w:numId="2">
    <w:abstractNumId w:val="2"/>
  </w:num>
  <w:num w:numId="3">
    <w:abstractNumId w:val="0"/>
  </w:num>
  <w:num w:numId="4">
    <w:abstractNumId w:val="7"/>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BFA"/>
    <w:rsid w:val="00014C1D"/>
    <w:rsid w:val="0008298A"/>
    <w:rsid w:val="0015393D"/>
    <w:rsid w:val="00194ECD"/>
    <w:rsid w:val="002F7BFA"/>
    <w:rsid w:val="006E7520"/>
    <w:rsid w:val="00AB39E4"/>
    <w:rsid w:val="00E302A0"/>
    <w:rsid w:val="00F92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7BF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BFA"/>
    <w:pPr>
      <w:ind w:left="720"/>
      <w:contextualSpacing/>
    </w:pPr>
  </w:style>
  <w:style w:type="paragraph" w:styleId="a4">
    <w:name w:val="Balloon Text"/>
    <w:basedOn w:val="a"/>
    <w:link w:val="a5"/>
    <w:uiPriority w:val="99"/>
    <w:semiHidden/>
    <w:unhideWhenUsed/>
    <w:rsid w:val="00AB39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9E4"/>
    <w:rPr>
      <w:rFonts w:ascii="Tahoma" w:eastAsia="Calibri" w:hAnsi="Tahoma" w:cs="Tahoma"/>
      <w:color w:val="000000"/>
      <w:sz w:val="16"/>
      <w:szCs w:val="16"/>
      <w:u w:color="000000"/>
      <w:bdr w:val="nil"/>
      <w:lang w:eastAsia="ru-RU"/>
    </w:rPr>
  </w:style>
</w:styles>
</file>

<file path=word/webSettings.xml><?xml version="1.0" encoding="utf-8"?>
<w:webSettings xmlns:r="http://schemas.openxmlformats.org/officeDocument/2006/relationships" xmlns:w="http://schemas.openxmlformats.org/wordprocessingml/2006/main">
  <w:divs>
    <w:div w:id="10141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Brenduk</dc:creator>
  <cp:lastModifiedBy>Olga Brenduk</cp:lastModifiedBy>
  <cp:revision>2</cp:revision>
  <cp:lastPrinted>2019-04-18T12:35:00Z</cp:lastPrinted>
  <dcterms:created xsi:type="dcterms:W3CDTF">2019-04-30T10:09:00Z</dcterms:created>
  <dcterms:modified xsi:type="dcterms:W3CDTF">2019-04-30T10:09:00Z</dcterms:modified>
</cp:coreProperties>
</file>