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77" w:rsidRDefault="008E1D77">
      <w:pPr>
        <w:pStyle w:val="ConsPlusTitle"/>
        <w:jc w:val="center"/>
        <w:outlineLvl w:val="0"/>
      </w:pPr>
      <w:r>
        <w:t>ПРАВИТЕЛЬСТВО УЛЬЯНОВСКОЙ ОБЛАСТИ</w:t>
      </w:r>
    </w:p>
    <w:p w:rsidR="008E1D77" w:rsidRDefault="008E1D77">
      <w:pPr>
        <w:pStyle w:val="ConsPlusTitle"/>
        <w:jc w:val="center"/>
      </w:pPr>
    </w:p>
    <w:p w:rsidR="008E1D77" w:rsidRDefault="008E1D77">
      <w:pPr>
        <w:pStyle w:val="ConsPlusTitle"/>
        <w:jc w:val="center"/>
      </w:pPr>
      <w:r>
        <w:t>ПОСТАНОВЛЕНИЕ</w:t>
      </w:r>
    </w:p>
    <w:p w:rsidR="008E1D77" w:rsidRDefault="008E1D77">
      <w:pPr>
        <w:pStyle w:val="ConsPlusTitle"/>
        <w:jc w:val="center"/>
      </w:pPr>
      <w:r>
        <w:t>от 24 апреля 2013 г. N 149-П</w:t>
      </w:r>
    </w:p>
    <w:p w:rsidR="008E1D77" w:rsidRDefault="008E1D77">
      <w:pPr>
        <w:pStyle w:val="ConsPlusTitle"/>
        <w:jc w:val="center"/>
      </w:pPr>
    </w:p>
    <w:p w:rsidR="008E1D77" w:rsidRDefault="008E1D77">
      <w:pPr>
        <w:pStyle w:val="ConsPlusTitle"/>
        <w:jc w:val="center"/>
      </w:pPr>
      <w:r>
        <w:t>ОБ УТВЕРЖДЕНИИ ПОЛОЖЕНИЯ О ПОРЯДКЕ ВЫПЛАТЫ ДЕНЕЖНОГО</w:t>
      </w:r>
    </w:p>
    <w:p w:rsidR="008E1D77" w:rsidRDefault="008E1D77">
      <w:pPr>
        <w:pStyle w:val="ConsPlusTitle"/>
        <w:jc w:val="center"/>
      </w:pPr>
      <w:r>
        <w:t>ВОЗНАГРАЖДЕНИЯ ЗА ДОБРОВОЛЬНО СДАННЫЕ ОРУЖИЕ,</w:t>
      </w:r>
    </w:p>
    <w:p w:rsidR="008E1D77" w:rsidRDefault="008E1D77">
      <w:pPr>
        <w:pStyle w:val="ConsPlusTitle"/>
        <w:jc w:val="center"/>
      </w:pPr>
      <w:r>
        <w:t>БОЕПРИПАСЫ, ВЗРЫВЧАТЫЕ ВЕЩЕСТВА, ВЗРЫВНЫЕ УСТРОЙСТВА,</w:t>
      </w:r>
    </w:p>
    <w:p w:rsidR="008E1D77" w:rsidRDefault="008E1D77">
      <w:pPr>
        <w:pStyle w:val="ConsPlusTitle"/>
        <w:jc w:val="center"/>
      </w:pPr>
      <w:r>
        <w:t>ПОЛОЖЕНИЯ О КОМИССИИ ПРАВИТЕЛЬСТВА УЛЬЯНОВСКОЙ ОБЛАСТИ</w:t>
      </w:r>
    </w:p>
    <w:p w:rsidR="008E1D77" w:rsidRDefault="008E1D77">
      <w:pPr>
        <w:pStyle w:val="ConsPlusTitle"/>
        <w:jc w:val="center"/>
      </w:pPr>
      <w:r>
        <w:t>ПО ВЫПЛАТЕ ДЕНЕЖНОГО ВОЗНАГРАЖДЕНИЯ ЗА ДОБРОВОЛЬНО</w:t>
      </w:r>
    </w:p>
    <w:p w:rsidR="008E1D77" w:rsidRDefault="008E1D77">
      <w:pPr>
        <w:pStyle w:val="ConsPlusTitle"/>
        <w:jc w:val="center"/>
      </w:pPr>
      <w:r>
        <w:t>СДАННЫЕ ОРУЖИЕ, БОЕПРИПАСЫ, ВЗРЫВЧАТЫЕ ВЕЩЕСТВА,</w:t>
      </w:r>
    </w:p>
    <w:p w:rsidR="008E1D77" w:rsidRDefault="008E1D77">
      <w:pPr>
        <w:pStyle w:val="ConsPlusTitle"/>
        <w:jc w:val="center"/>
      </w:pPr>
      <w:r>
        <w:t>ВЗРЫВНЫЕ УСТРОЙСТВА</w:t>
      </w:r>
    </w:p>
    <w:p w:rsidR="008E1D77" w:rsidRDefault="008E1D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1D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4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07.10.2015 </w:t>
            </w:r>
            <w:hyperlink r:id="rId5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6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ind w:firstLine="540"/>
        <w:jc w:val="both"/>
      </w:pPr>
      <w:r>
        <w:t xml:space="preserve">В целях реализации пункта 4 Перечня поручений Президента Российской Федерации от 02.10.2012 N Пр-2613 по вопросам обеспечения общественной безопасности в сфере предупреждения и пресечения преступлений, связанных с использованием оружия, боеприпасов, взрывчатых веществ, взрывных устройств,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Ульяновской области "Обеспечение правопорядка и безопасности жизнедеятельности на территории Ульяновской области" на 2014 - 2018 годы, утвержденной постановлением Правительства Ульяновской области от 11.09.2013 N 37/413-П "Об утверждении государственной программы Ульяновской области "Обеспечение правопорядка и безопасности жизнедеятельности на территории Ульяновской области" на 2014 - 2020 годы", Правительство Ульяновской области постановляет:</w:t>
      </w:r>
    </w:p>
    <w:p w:rsidR="008E1D77" w:rsidRDefault="008E1D77">
      <w:pPr>
        <w:pStyle w:val="ConsPlusNormal"/>
        <w:jc w:val="both"/>
      </w:pPr>
      <w:r>
        <w:t xml:space="preserve">(в ред. постановлений Правительства Ульяновской области от 07.08.2014 </w:t>
      </w:r>
      <w:hyperlink r:id="rId8" w:history="1">
        <w:r>
          <w:rPr>
            <w:color w:val="0000FF"/>
          </w:rPr>
          <w:t>N 345-П</w:t>
        </w:r>
      </w:hyperlink>
      <w:r>
        <w:t xml:space="preserve">, от 10.11.2017 </w:t>
      </w:r>
      <w:hyperlink r:id="rId9" w:history="1">
        <w:r>
          <w:rPr>
            <w:color w:val="0000FF"/>
          </w:rPr>
          <w:t>N 544-П</w:t>
        </w:r>
      </w:hyperlink>
      <w:r>
        <w:t>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1. Утвердить: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выплаты денежного вознаграждения за добровольно сданные оружие, боеприпасы, взрывчатые вещества, взрывные устройства (приложение N 1).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1.2. </w:t>
      </w:r>
      <w:hyperlink w:anchor="P105" w:history="1">
        <w:r>
          <w:rPr>
            <w:color w:val="0000FF"/>
          </w:rPr>
          <w:t>Положение</w:t>
        </w:r>
      </w:hyperlink>
      <w:r>
        <w:t xml:space="preserve"> о комиссии Правительства Ульяновской области по выплате денежного вознаграждения за добровольно сданные оружие, боеприпасы, взрывчатые вещества, взрывные устройства (приложение N 2).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10.11.2017 N 544-П.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2. Финансовому управлению (бухгалтерии) администрации Губернатора Ульяновской области осуществлять оплату расходов, связанных с выплатой вознаграждения за добровольно сданные оружие, боеприпасы, взрывчатые вещества, взрывные устройства в пределах бюджетных ассигнований областного бюджета Ульяновской области на финансовое обеспечение реализации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Ульяновской области "Обеспечение правопорядка и безопасности жизнедеятельности на территории Ульяновской области" на 2014 - 2020 годы.</w:t>
      </w:r>
    </w:p>
    <w:p w:rsidR="008E1D77" w:rsidRDefault="008E1D7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3. Рекомендовать Управлению Федеральной службы войск национальной гвардии по Ульяновской области: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совместно с Управлением Министерства внутренних дел Российской Федерации по Ульяновской области рассмотреть вопрос об организации деятельности, связанной с приемом </w:t>
      </w:r>
      <w:r>
        <w:lastRenderedPageBreak/>
        <w:t>добровольно сдаваемых оружия, боеприпасов, взрывчатых веществ, взрывных устройств;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принять участие в информировании населения о ходе реализации настоящего постановления и условиях добровольной сдачи оружия, боеприпасов, взрывчатых веществ, взрывных устройств.</w:t>
      </w:r>
    </w:p>
    <w:p w:rsidR="008E1D77" w:rsidRDefault="008E1D77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right"/>
      </w:pPr>
      <w:r>
        <w:t>Губернатор - Председатель</w:t>
      </w:r>
    </w:p>
    <w:p w:rsidR="008E1D77" w:rsidRDefault="008E1D77">
      <w:pPr>
        <w:pStyle w:val="ConsPlusNormal"/>
        <w:jc w:val="right"/>
      </w:pPr>
      <w:r>
        <w:t>Правительства</w:t>
      </w:r>
    </w:p>
    <w:p w:rsidR="008E1D77" w:rsidRDefault="008E1D77">
      <w:pPr>
        <w:pStyle w:val="ConsPlusNormal"/>
        <w:jc w:val="right"/>
      </w:pPr>
      <w:r>
        <w:t>Ульяновской области</w:t>
      </w:r>
    </w:p>
    <w:p w:rsidR="008E1D77" w:rsidRDefault="008E1D77">
      <w:pPr>
        <w:pStyle w:val="ConsPlusNormal"/>
        <w:jc w:val="right"/>
      </w:pPr>
      <w:r>
        <w:t>С.И.МОРОЗОВ</w:t>
      </w: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right"/>
        <w:outlineLvl w:val="0"/>
      </w:pPr>
      <w:r>
        <w:t>Приложение N 1</w:t>
      </w:r>
    </w:p>
    <w:p w:rsidR="008E1D77" w:rsidRDefault="008E1D77">
      <w:pPr>
        <w:pStyle w:val="ConsPlusNormal"/>
        <w:jc w:val="right"/>
      </w:pPr>
      <w:r>
        <w:t>к постановлению</w:t>
      </w:r>
    </w:p>
    <w:p w:rsidR="008E1D77" w:rsidRDefault="008E1D77">
      <w:pPr>
        <w:pStyle w:val="ConsPlusNormal"/>
        <w:jc w:val="right"/>
      </w:pPr>
      <w:r>
        <w:t>Правительства Ульяновской области</w:t>
      </w:r>
    </w:p>
    <w:p w:rsidR="008E1D77" w:rsidRDefault="008E1D77">
      <w:pPr>
        <w:pStyle w:val="ConsPlusNormal"/>
        <w:jc w:val="right"/>
      </w:pPr>
      <w:r>
        <w:t>от 24 апреля 2013 г. N 149-П</w:t>
      </w: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Title"/>
        <w:jc w:val="center"/>
      </w:pPr>
      <w:bookmarkStart w:id="0" w:name="P44"/>
      <w:bookmarkEnd w:id="0"/>
      <w:r>
        <w:t>ПОЛОЖЕНИЕ</w:t>
      </w:r>
    </w:p>
    <w:p w:rsidR="008E1D77" w:rsidRDefault="008E1D77">
      <w:pPr>
        <w:pStyle w:val="ConsPlusTitle"/>
        <w:jc w:val="center"/>
      </w:pPr>
      <w:r>
        <w:t>О ПОРЯДКЕ ВЫПЛАТЫ ДЕНЕЖНОГО ВОЗНАГРАЖДЕНИЯ</w:t>
      </w:r>
    </w:p>
    <w:p w:rsidR="008E1D77" w:rsidRDefault="008E1D77">
      <w:pPr>
        <w:pStyle w:val="ConsPlusTitle"/>
        <w:jc w:val="center"/>
      </w:pPr>
      <w:r>
        <w:t>ЗА ДОБРОВОЛЬНО СДАННЫЕ ОРУЖИЕ, БОЕПРИПАСЫ, ВЗРЫВЧАТЫЕ</w:t>
      </w:r>
    </w:p>
    <w:p w:rsidR="008E1D77" w:rsidRDefault="008E1D77">
      <w:pPr>
        <w:pStyle w:val="ConsPlusTitle"/>
        <w:jc w:val="center"/>
      </w:pPr>
      <w:r>
        <w:t>ВЕЩЕСТВА, ВЗРЫВНЫЕ УСТРОЙСТВА</w:t>
      </w:r>
    </w:p>
    <w:p w:rsidR="008E1D77" w:rsidRDefault="008E1D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1D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14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07.10.2015 </w:t>
            </w:r>
            <w:hyperlink r:id="rId15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16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ind w:firstLine="540"/>
        <w:jc w:val="both"/>
      </w:pPr>
      <w:r>
        <w:t xml:space="preserve">1. Настоящее Положение разработано в целях профилактики правонарушений, обеспечения общественного порядка и стимулирования </w:t>
      </w:r>
      <w:proofErr w:type="spellStart"/>
      <w:r>
        <w:t>правопослушного</w:t>
      </w:r>
      <w:proofErr w:type="spellEnd"/>
      <w:r>
        <w:t xml:space="preserve"> поведения граждан.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2. Граждане Российской Федерации (далее - граждане), достигшие 18-летнего возраста, постоянно проживающие на территории Ульяновской области, нашедшие на территории Ульяновской области и добровольно сдавшие в территориальные органы Министерства внутренних дел Российской Федерации по Ульяновской области оружие, боеприпасы, взрывчатые вещества, взрывные устройства (далее - предметы вооружения) в порядке, установленном законодательством Российской Федерации, имеют право на получение денежного вознаграждения в размере, установленном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8E1D77" w:rsidRDefault="008E1D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3. Прием и оформление предметов вооружения осуществляются в территориальных органах Управления Министерства внутренних дел Российской Федерации по Ульяновской области в соответствии с порядком, утвержденным Министерством внутренних дел Российской Федерации.</w:t>
      </w:r>
    </w:p>
    <w:p w:rsidR="008E1D77" w:rsidRDefault="008E1D77">
      <w:pPr>
        <w:pStyle w:val="ConsPlusNormal"/>
        <w:spacing w:before="220"/>
        <w:ind w:firstLine="540"/>
        <w:jc w:val="both"/>
      </w:pPr>
      <w:bookmarkStart w:id="1" w:name="P56"/>
      <w:bookmarkEnd w:id="1"/>
      <w:r>
        <w:t>4. Граждане одновременно со сдачей предметов вооружения подают заявление на выплату денежного вознаграждения (далее - заявление).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В заявлении указываются фамилия, имя, отчество (последнее - при наличии), адрес места жительства, паспортные данные гражданина, сдавшего предметы вооружения, и присвоенный ему идентификационный номер налогоплательщика, а также реквизиты счета, открытого на его имя в кредитной организации.</w:t>
      </w:r>
    </w:p>
    <w:p w:rsidR="008E1D77" w:rsidRDefault="008E1D7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lastRenderedPageBreak/>
        <w:t>Вместе с заявлением гражданин представляет: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а) копию паспорта;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б) копию свидетельства о постановке на учет физического лица в налоговом органе на территории Российской Федерации.</w:t>
      </w:r>
    </w:p>
    <w:p w:rsidR="008E1D77" w:rsidRDefault="008E1D7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Заявление с прилагаемыми к нему копиями документов и квитанцией о сдаче предметов вооружения направляется в комиссию Правительства Ульяновской области по выплате денежного вознаграждения за добровольно сданные оружие, боеприпасы, взрывчатые вещества, взрывные устройства (далее - комиссия) для решения вопроса о выплате денежного вознаграждения за добровольно сданные предметы вооружения.</w:t>
      </w:r>
    </w:p>
    <w:p w:rsidR="008E1D77" w:rsidRDefault="008E1D7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5. Определение размеров денежного вознаграждения за добровольно сданные предметы вооружения и целесообразности его выплаты возлагается на комиссию.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6. Основанием для выплаты денежного вознаграждения за добровольно сданные предметы вооружения является распоряжение Правительства Ульяновской области.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7. Вознаграждение гражданину за добровольно сданные предметы вооружения выплачивается финансовым управлением (бухгалтерией) администрации Губернатора Ульяновской области в безналичной форме путем перечисления денежных средств на счет гражданина, открытый в кредитной организации, не позднее 30 календарных дней со дня подписания распоряжения Правительства Ульяновской области о выплате денежного вознаграждения за добровольно сданные предметы вооружения.</w:t>
      </w:r>
    </w:p>
    <w:p w:rsidR="008E1D77" w:rsidRDefault="008E1D77">
      <w:pPr>
        <w:pStyle w:val="ConsPlusNormal"/>
        <w:jc w:val="both"/>
      </w:pPr>
      <w:r>
        <w:t xml:space="preserve">(в ред. постановлений Правительства Ульяновской области от 07.08.2014 </w:t>
      </w:r>
      <w:hyperlink r:id="rId21" w:history="1">
        <w:r>
          <w:rPr>
            <w:color w:val="0000FF"/>
          </w:rPr>
          <w:t>N 345-П</w:t>
        </w:r>
      </w:hyperlink>
      <w:r>
        <w:t xml:space="preserve">, от 10.11.2017 </w:t>
      </w:r>
      <w:hyperlink r:id="rId22" w:history="1">
        <w:r>
          <w:rPr>
            <w:color w:val="0000FF"/>
          </w:rPr>
          <w:t>N 544-П</w:t>
        </w:r>
      </w:hyperlink>
      <w:r>
        <w:t>)</w:t>
      </w:r>
    </w:p>
    <w:p w:rsidR="008E1D77" w:rsidRDefault="008E1D77">
      <w:pPr>
        <w:pStyle w:val="ConsPlusNormal"/>
        <w:spacing w:before="220"/>
        <w:ind w:firstLine="540"/>
        <w:jc w:val="both"/>
      </w:pPr>
      <w:bookmarkStart w:id="2" w:name="P69"/>
      <w:bookmarkEnd w:id="2"/>
      <w:r>
        <w:t>8. Гражданину, добровольно сдавшему предметы вооружения, выплачивается денежное вознаграждение в следующих размерах: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боевого ручного стрелкового оружия: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ручной пулемет - 15000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гранатомет - 10000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автоматическое оружие (автомат, пистолет-пулемет) - 8000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винтовка, карабин - 7000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пистолет, револьвер - 5000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огнестрельного длинноствольного оружия с нарезным стволом (спортивного, охотничьего, служебного) - 6000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огнестрельного короткоствольного оружия с нарезным стволом (спортивного, служебного) - 4000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огнестрельного гладкоствольного длинноствольного оружия; огнестрельного комбинированного (нарезного и гладкоствольного) длинноствольного, в том числе со сменными и вкладными нарезными стволами (спортивного, охотничьего, служебного) - 4000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самодельного (кустарного изготовления) и переделанных предметов вооружения - 3000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lastRenderedPageBreak/>
        <w:t>за единицу огнестрельного оружия ограниченного поражения, газового оружия - 3000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взрывного устройства - 3000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боевых гранат с запалом, мин, снарядов - 4000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запала к боевым гранатам - 500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100 граммов взрывчатых веществ - 2500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инициирующие взрывчатые вещества и устройства: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детонаторы - 1000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огнепроводные и детонирующие шнуры - 100 рублей за метр;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боеприпасов к боевому ручному стрелковому оружию - 30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патронов к огнестрельному оружию ограниченного поражения и оружию с нарезным стволом - 13 рублей;</w:t>
      </w:r>
    </w:p>
    <w:p w:rsidR="008E1D77" w:rsidRDefault="008E1D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единицу патронов к огнестрельному гладкоствольному длинноствольному оружию - 25 рублей;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за 100 граммов охотничьего пороха, пороха дымного - 100 рублей.</w:t>
      </w:r>
    </w:p>
    <w:p w:rsidR="008E1D77" w:rsidRDefault="008E1D7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07.10.2015 N 502-П)</w:t>
      </w: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right"/>
        <w:outlineLvl w:val="0"/>
      </w:pPr>
      <w:r>
        <w:t>Приложение N 2</w:t>
      </w:r>
    </w:p>
    <w:p w:rsidR="008E1D77" w:rsidRDefault="008E1D77">
      <w:pPr>
        <w:pStyle w:val="ConsPlusNormal"/>
        <w:jc w:val="right"/>
      </w:pPr>
      <w:r>
        <w:t>к постановлению</w:t>
      </w:r>
    </w:p>
    <w:p w:rsidR="008E1D77" w:rsidRDefault="008E1D77">
      <w:pPr>
        <w:pStyle w:val="ConsPlusNormal"/>
        <w:jc w:val="right"/>
      </w:pPr>
      <w:r>
        <w:t>Правительства Ульяновской области</w:t>
      </w:r>
    </w:p>
    <w:p w:rsidR="008E1D77" w:rsidRDefault="008E1D77">
      <w:pPr>
        <w:pStyle w:val="ConsPlusNormal"/>
        <w:jc w:val="right"/>
      </w:pPr>
      <w:r>
        <w:t>от 24 апреля 2013 г. N 149-П</w:t>
      </w: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Title"/>
        <w:jc w:val="center"/>
      </w:pPr>
      <w:bookmarkStart w:id="3" w:name="P105"/>
      <w:bookmarkEnd w:id="3"/>
      <w:r>
        <w:t>ПОЛОЖЕНИЕ</w:t>
      </w:r>
    </w:p>
    <w:p w:rsidR="008E1D77" w:rsidRDefault="008E1D77">
      <w:pPr>
        <w:pStyle w:val="ConsPlusTitle"/>
        <w:jc w:val="center"/>
      </w:pPr>
      <w:r>
        <w:t>О КОМИССИИ ПРАВИТЕЛЬСТВА УЛЬЯНОВСКОЙ ОБЛАСТИ ПО ВЫПЛАТЕ</w:t>
      </w:r>
    </w:p>
    <w:p w:rsidR="008E1D77" w:rsidRDefault="008E1D77">
      <w:pPr>
        <w:pStyle w:val="ConsPlusTitle"/>
        <w:jc w:val="center"/>
      </w:pPr>
      <w:r>
        <w:t>ДЕНЕЖНОГО ВОЗНАГРАЖДЕНИЯ ЗА ДОБРОВОЛЬНО СДАННЫЕ ОРУЖИЕ,</w:t>
      </w:r>
    </w:p>
    <w:p w:rsidR="008E1D77" w:rsidRDefault="008E1D77">
      <w:pPr>
        <w:pStyle w:val="ConsPlusTitle"/>
        <w:jc w:val="center"/>
      </w:pPr>
      <w:r>
        <w:t>БОЕПРИПАСЫ, ВЗРЫВЧАТЫЕ ВЕЩЕСТВА, ВЗРЫВНЫЕ УСТРОЙСТВА</w:t>
      </w:r>
    </w:p>
    <w:p w:rsidR="008E1D77" w:rsidRDefault="008E1D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1D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8E1D77" w:rsidRDefault="008E1D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07.08.2014 </w:t>
            </w:r>
            <w:hyperlink r:id="rId26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 xml:space="preserve">, от 10.11.2017 </w:t>
            </w:r>
            <w:hyperlink r:id="rId27" w:history="1">
              <w:r>
                <w:rPr>
                  <w:color w:val="0000FF"/>
                </w:rPr>
                <w:t>N 544-П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center"/>
        <w:outlineLvl w:val="1"/>
      </w:pPr>
      <w:r>
        <w:t>1. Общие положения</w:t>
      </w: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ind w:firstLine="540"/>
        <w:jc w:val="both"/>
      </w:pPr>
      <w:r>
        <w:t xml:space="preserve">1.1. Комиссия Правительства Ульяновской области по выплате денежного вознаграждения за добровольно сданные оружие, боеприпасы, взрывчатые вещества, взрывные устройства (далее - Комиссия) является постоянно действующим коллегиальным органом, создаваемым Правительством Ульяновской области для рассмотрения вопросов по определению размера и целесообразности выплаты денежного вознаграждения за сданные оружие, боеприпасы, </w:t>
      </w:r>
      <w:r>
        <w:lastRenderedPageBreak/>
        <w:t>взрывчатые вещества, взрывные устройства (далее - предметы вооружения).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Члены Комиссии работают на общественных началах.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1.2. Комиссия образуется в составе председателя, заместителя председателя, секретаря и членов Комиссии.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Состав Комиссии утверждается распоряжением Правительства Ульяновской области.</w:t>
      </w:r>
    </w:p>
    <w:p w:rsidR="008E1D77" w:rsidRDefault="008E1D7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1.3. Комиссия обладает следующими полномочиями: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рассмотрение заявлений граждан, добровольно сдавших предметы вооружения, о выплате денежного вознаграждения;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привлечение в установленном порядке к работе Комиссии сотрудников правоохранительных органов в качестве экспертов;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принятие решения о выплате денежного вознаграждения гражданам, добровольно сдавшим предметы вооружения;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принятие решения об отказе в выплате денежного вознаграждения при обнаружении несоответствия сведений о гражданстве, возрасте, месте регистрации и наименовании сдаваемых предметов вооружения либо в связи с отсутствием документов, предусмотренных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Положения о порядке выплаты денежного вознаграждения за добровольно сданные оружие, боеприпасы, взрывчатые вещества, взрывные устройства.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При отказе в выплате денежного вознаграждения в связи с отсутствием документов, предусмотренных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Положения о порядке выплаты денежного вознаграждения за добровольно сданные оружие, боеприпасы, взрывчатые вещества, взрывные устройства, Комиссия обязана рассмотреть вопрос повторно после представления гражданином недостающих документов.</w:t>
      </w:r>
    </w:p>
    <w:p w:rsidR="008E1D77" w:rsidRDefault="008E1D7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10.11.2017 N 544-П)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Об отказе в выплате денежного вознаграждения гражданин извещается письменно с изложением причин отказа.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1.4. Председатель Комиссии: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планирует и организует деятельность Комиссии;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назначает дату и время заседания Комиссии;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подписывает протоколы заседаний Комиссии.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1.5. В случае отсутствия председателя Комиссии его обязанности выполняет заместитель председателя Комиссии.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1.6. Секретарь Комиссии организационно обеспечивает деятельность Комиссии, в том числе принимает и регистрирует поступающие в Комиссию материалы и документы, готовит их для рассмотрения на заседании Комиссии, ведет протокол заседания Комиссии, регистрирует и отправляет исходящие документы.</w:t>
      </w: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jc w:val="center"/>
        <w:outlineLvl w:val="1"/>
      </w:pPr>
      <w:r>
        <w:t>2. Порядок работы Комиссии</w:t>
      </w:r>
    </w:p>
    <w:p w:rsidR="008E1D77" w:rsidRDefault="008E1D77">
      <w:pPr>
        <w:pStyle w:val="ConsPlusNormal"/>
        <w:jc w:val="both"/>
      </w:pPr>
    </w:p>
    <w:p w:rsidR="008E1D77" w:rsidRDefault="008E1D77">
      <w:pPr>
        <w:pStyle w:val="ConsPlusNormal"/>
        <w:ind w:firstLine="540"/>
        <w:jc w:val="both"/>
      </w:pPr>
      <w:r>
        <w:lastRenderedPageBreak/>
        <w:t xml:space="preserve">2.1. Заседания Комиссии проводятся один раз в квартал, по мере поступления заявлений граждан с приобщенным пакетом документов, перечисленных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Положения о порядке выплаты денежного вознаграждения за добровольно сданные оружие, боеприпасы, взрывчатые вещества, взрывные устройства, и квитанций о сдаче предметов вооружения, выданных территориальными органами Управления Министерства внутренних дел Российской Федерации по Ульяновской области.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2.2. Заседание Комиссии правомочно, если на нем присутствует более половины численного состава Комиссии.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2.3. Решения Комиссии принимаются открытым голосованием простым большинством голосов членов Комиссии. При равенстве голосов председательствующий имеет право решающего голоса.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2.4. На заседании Комиссии составляется протокол, который подписывают председательствующий, секретарь и члены Комиссии, участвовавшие в заседании.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>Протокол является основанием для издания распоряжения Правительства Ульяновской области о выплате денежного вознаграждения гражданам, добровольно сдавшим предметы вооружения. Распоряжение Правительства Ульяновской области о выплате денежного вознаграждения в течение 7 рабочих дней со дня заседания Комиссии направляется в финансовое управление (бухгалтерию) администрации Губернатора Ульяновской области.</w:t>
      </w:r>
    </w:p>
    <w:p w:rsidR="008E1D77" w:rsidRDefault="008E1D7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07.08.2014 N 345-П)</w:t>
      </w:r>
    </w:p>
    <w:p w:rsidR="008E1D77" w:rsidRDefault="008E1D77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10.11.2017 N 544-П.</w:t>
      </w:r>
    </w:p>
    <w:p w:rsidR="008E1D77" w:rsidRDefault="008E1D77">
      <w:pPr>
        <w:pStyle w:val="ConsPlusNormal"/>
        <w:jc w:val="both"/>
      </w:pPr>
    </w:p>
    <w:p w:rsidR="00B968C4" w:rsidRDefault="00B968C4">
      <w:bookmarkStart w:id="4" w:name="_GoBack"/>
      <w:bookmarkEnd w:id="4"/>
    </w:p>
    <w:sectPr w:rsidR="00B968C4" w:rsidSect="00CA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D77"/>
    <w:rsid w:val="008E1D77"/>
    <w:rsid w:val="008F24F0"/>
    <w:rsid w:val="00B968C4"/>
    <w:rsid w:val="00DC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F8925156F220018DD5AD3BF473CB24689A674110ADFC05A22011A1BAABA3359B81E3E140C2318FB94FE92C521AD46F058FF8C212776EF37BC79S3H2L" TargetMode="External"/><Relationship Id="rId13" Type="http://schemas.openxmlformats.org/officeDocument/2006/relationships/hyperlink" Target="consultantplus://offline/ref=045F8925156F220018DD5AD3BF473CB24689A674110AD8CA5A22011A1BAABA3359B81E3E140C2318FB94FF95C521AD46F058FF8C212776EF37BC79S3H2L" TargetMode="External"/><Relationship Id="rId18" Type="http://schemas.openxmlformats.org/officeDocument/2006/relationships/hyperlink" Target="consultantplus://offline/ref=045F8925156F220018DD5AD3BF473CB24689A674110AD8CA5A22011A1BAABA3359B81E3E140C2318FB94FF9CC521AD46F058FF8C212776EF37BC79S3H2L" TargetMode="External"/><Relationship Id="rId26" Type="http://schemas.openxmlformats.org/officeDocument/2006/relationships/hyperlink" Target="consultantplus://offline/ref=045F8925156F220018DD5AD3BF473CB24689A674110ADFC05A22011A1BAABA3359B81E3E140C2318FB94FF94C521AD46F058FF8C212776EF37BC79S3H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5F8925156F220018DD5AD3BF473CB24689A674110ADFC05A22011A1BAABA3359B81E3E140C2318FB94FE9DC521AD46F058FF8C212776EF37BC79S3H2L" TargetMode="External"/><Relationship Id="rId7" Type="http://schemas.openxmlformats.org/officeDocument/2006/relationships/hyperlink" Target="consultantplus://offline/ref=045F8925156F220018DD5AD3BF473CB24689A674110DD8CB5A22011A1BAABA3359B81E3E140C2318FB94FC94C521AD46F058FF8C212776EF37BC79S3H2L" TargetMode="External"/><Relationship Id="rId12" Type="http://schemas.openxmlformats.org/officeDocument/2006/relationships/hyperlink" Target="consultantplus://offline/ref=045F8925156F220018DD5AD3BF473CB24689A674110AD8CA5A22011A1BAABA3359B81E3E140C2318FB94FE9DC521AD46F058FF8C212776EF37BC79S3H2L" TargetMode="External"/><Relationship Id="rId17" Type="http://schemas.openxmlformats.org/officeDocument/2006/relationships/hyperlink" Target="consultantplus://offline/ref=045F8925156F220018DD5AD3BF473CB24689A674110AD8CA5A22011A1BAABA3359B81E3E140C2318FB94FF92C521AD46F058FF8C212776EF37BC79S3H2L" TargetMode="External"/><Relationship Id="rId25" Type="http://schemas.openxmlformats.org/officeDocument/2006/relationships/hyperlink" Target="consultantplus://offline/ref=045F8925156F220018DD5AD3BF473CB24689A6741608D9C55F22011A1BAABA3359B81E3E140C2318FB94FE91C521AD46F058FF8C212776EF37BC79S3H2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5F8925156F220018DD5AD3BF473CB24689A674110AD8CA5A22011A1BAABA3359B81E3E140C2318FB94FF91C521AD46F058FF8C212776EF37BC79S3H2L" TargetMode="External"/><Relationship Id="rId20" Type="http://schemas.openxmlformats.org/officeDocument/2006/relationships/hyperlink" Target="consultantplus://offline/ref=045F8925156F220018DD5AD3BF473CB24689A674110AD8CA5A22011A1BAABA3359B81E3E140C2318FB94FC95C521AD46F058FF8C212776EF37BC79S3H2L" TargetMode="External"/><Relationship Id="rId29" Type="http://schemas.openxmlformats.org/officeDocument/2006/relationships/hyperlink" Target="consultantplus://offline/ref=045F8925156F220018DD5AD3BF473CB24689A674110AD8CA5A22011A1BAABA3359B81E3E140C2318FB94FD95C521AD46F058FF8C212776EF37BC79S3H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F8925156F220018DD5AD3BF473CB24689A674110AD8CA5A22011A1BAABA3359B81E3E140C2318FB94FE91C521AD46F058FF8C212776EF37BC79S3H2L" TargetMode="External"/><Relationship Id="rId11" Type="http://schemas.openxmlformats.org/officeDocument/2006/relationships/hyperlink" Target="consultantplus://offline/ref=045F8925156F220018DD5AD3BF473CB24689A674110DD8CB5A22011A1BAABA3359B81E3E140C2318F992FA92C521AD46F058FF8C212776EF37BC79S3H2L" TargetMode="External"/><Relationship Id="rId24" Type="http://schemas.openxmlformats.org/officeDocument/2006/relationships/hyperlink" Target="consultantplus://offline/ref=045F8925156F220018DD5AD3BF473CB24689A674110AD8CA5A22011A1BAABA3359B81E3E140C2318FB94FC91C521AD46F058FF8C212776EF37BC79S3H2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45F8925156F220018DD5AD3BF473CB24689A6741608D9C55F22011A1BAABA3359B81E3E140C2318FB94FE91C521AD46F058FF8C212776EF37BC79S3H2L" TargetMode="External"/><Relationship Id="rId15" Type="http://schemas.openxmlformats.org/officeDocument/2006/relationships/hyperlink" Target="consultantplus://offline/ref=045F8925156F220018DD5AD3BF473CB24689A6741608D9C55F22011A1BAABA3359B81E3E140C2318FB94FE91C521AD46F058FF8C212776EF37BC79S3H2L" TargetMode="External"/><Relationship Id="rId23" Type="http://schemas.openxmlformats.org/officeDocument/2006/relationships/hyperlink" Target="consultantplus://offline/ref=045F8925156F220018DD5AD3BF473CB24689A674110AD8CA5A22011A1BAABA3359B81E3E140C2318FB94FC90C521AD46F058FF8C212776EF37BC79S3H2L" TargetMode="External"/><Relationship Id="rId28" Type="http://schemas.openxmlformats.org/officeDocument/2006/relationships/hyperlink" Target="consultantplus://offline/ref=045F8925156F220018DD5AD3BF473CB24689A674110AD8CA5A22011A1BAABA3359B81E3E140C2318FB94FC9DC521AD46F058FF8C212776EF37BC79S3H2L" TargetMode="External"/><Relationship Id="rId10" Type="http://schemas.openxmlformats.org/officeDocument/2006/relationships/hyperlink" Target="consultantplus://offline/ref=045F8925156F220018DD5AD3BF473CB24689A674110AD8CA5A22011A1BAABA3359B81E3E140C2318FB94FE9CC521AD46F058FF8C212776EF37BC79S3H2L" TargetMode="External"/><Relationship Id="rId19" Type="http://schemas.openxmlformats.org/officeDocument/2006/relationships/hyperlink" Target="consultantplus://offline/ref=045F8925156F220018DD5AD3BF473CB24689A674110AD8CA5A22011A1BAABA3359B81E3E140C2318FB94FC94C521AD46F058FF8C212776EF37BC79S3H2L" TargetMode="External"/><Relationship Id="rId31" Type="http://schemas.openxmlformats.org/officeDocument/2006/relationships/hyperlink" Target="consultantplus://offline/ref=045F8925156F220018DD5AD3BF473CB24689A674110AD8CA5A22011A1BAABA3359B81E3E140C2318FB94FD96C521AD46F058FF8C212776EF37BC79S3H2L" TargetMode="External"/><Relationship Id="rId4" Type="http://schemas.openxmlformats.org/officeDocument/2006/relationships/hyperlink" Target="consultantplus://offline/ref=045F8925156F220018DD5AD3BF473CB24689A674110ADFC05A22011A1BAABA3359B81E3E140C2318FB94FE91C521AD46F058FF8C212776EF37BC79S3H2L" TargetMode="External"/><Relationship Id="rId9" Type="http://schemas.openxmlformats.org/officeDocument/2006/relationships/hyperlink" Target="consultantplus://offline/ref=045F8925156F220018DD5AD3BF473CB24689A674110AD8CA5A22011A1BAABA3359B81E3E140C2318FB94FE93C521AD46F058FF8C212776EF37BC79S3H2L" TargetMode="External"/><Relationship Id="rId14" Type="http://schemas.openxmlformats.org/officeDocument/2006/relationships/hyperlink" Target="consultantplus://offline/ref=045F8925156F220018DD5AD3BF473CB24689A674110ADFC05A22011A1BAABA3359B81E3E140C2318FB94FE9DC521AD46F058FF8C212776EF37BC79S3H2L" TargetMode="External"/><Relationship Id="rId22" Type="http://schemas.openxmlformats.org/officeDocument/2006/relationships/hyperlink" Target="consultantplus://offline/ref=045F8925156F220018DD5AD3BF473CB24689A674110AD8CA5A22011A1BAABA3359B81E3E140C2318FB94FC96C521AD46F058FF8C212776EF37BC79S3H2L" TargetMode="External"/><Relationship Id="rId27" Type="http://schemas.openxmlformats.org/officeDocument/2006/relationships/hyperlink" Target="consultantplus://offline/ref=045F8925156F220018DD5AD3BF473CB24689A674110AD8CA5A22011A1BAABA3359B81E3E140C2318FB94FC93C521AD46F058FF8C212776EF37BC79S3H2L" TargetMode="External"/><Relationship Id="rId30" Type="http://schemas.openxmlformats.org/officeDocument/2006/relationships/hyperlink" Target="consultantplus://offline/ref=045F8925156F220018DD5AD3BF473CB24689A674110ADFC05A22011A1BAABA3359B81E3E140C2318FB94FF94C521AD46F058FF8C212776EF37BC79S3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Песцова Дарья Сергеевна</dc:creator>
  <cp:lastModifiedBy>Olga Brenduk</cp:lastModifiedBy>
  <cp:revision>2</cp:revision>
  <dcterms:created xsi:type="dcterms:W3CDTF">2018-12-27T10:41:00Z</dcterms:created>
  <dcterms:modified xsi:type="dcterms:W3CDTF">2018-12-27T10:41:00Z</dcterms:modified>
</cp:coreProperties>
</file>