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1A" w:rsidRPr="0098751A" w:rsidRDefault="0098751A" w:rsidP="0098751A">
      <w:pPr>
        <w:pStyle w:val="ConsPlusTitle"/>
        <w:jc w:val="right"/>
        <w:rPr>
          <w:rFonts w:ascii="PT Astra Serif" w:hAnsi="PT Astra Serif"/>
          <w:sz w:val="28"/>
          <w:szCs w:val="28"/>
        </w:rPr>
      </w:pPr>
      <w:r w:rsidRPr="0098751A">
        <w:rPr>
          <w:rFonts w:ascii="PT Astra Serif" w:hAnsi="PT Astra Serif"/>
          <w:sz w:val="28"/>
          <w:szCs w:val="28"/>
        </w:rPr>
        <w:t>ПРОЕКТ</w:t>
      </w:r>
    </w:p>
    <w:p w:rsidR="0098751A" w:rsidRPr="0098751A" w:rsidRDefault="0098751A" w:rsidP="0098751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8751A" w:rsidRPr="0098751A" w:rsidRDefault="0098751A" w:rsidP="0098751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98751A">
        <w:rPr>
          <w:rFonts w:ascii="PT Astra Serif" w:hAnsi="PT Astra Serif"/>
          <w:sz w:val="28"/>
          <w:szCs w:val="28"/>
        </w:rPr>
        <w:t xml:space="preserve">МИНИСТЕРСТВО ЭКОНОМИЧЕСКОГО РАЗВИТИЯ </w:t>
      </w:r>
    </w:p>
    <w:p w:rsidR="0098751A" w:rsidRPr="0098751A" w:rsidRDefault="0098751A" w:rsidP="0098751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98751A">
        <w:rPr>
          <w:rFonts w:ascii="PT Astra Serif" w:hAnsi="PT Astra Serif"/>
          <w:sz w:val="28"/>
          <w:szCs w:val="28"/>
        </w:rPr>
        <w:t xml:space="preserve">УЛЬЯНОВСКОЙ ОБЛАСТИ </w:t>
      </w:r>
    </w:p>
    <w:p w:rsidR="0098751A" w:rsidRPr="0098751A" w:rsidRDefault="0098751A" w:rsidP="0098751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8751A" w:rsidRPr="0098751A" w:rsidRDefault="0098751A" w:rsidP="0098751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98751A">
        <w:rPr>
          <w:rFonts w:ascii="PT Astra Serif" w:hAnsi="PT Astra Serif"/>
          <w:sz w:val="28"/>
          <w:szCs w:val="28"/>
        </w:rPr>
        <w:t>ПРИКАЗ</w:t>
      </w:r>
    </w:p>
    <w:p w:rsidR="009E2F10" w:rsidRPr="009E2F10" w:rsidRDefault="009E2F10" w:rsidP="009E2F10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9E2F10" w:rsidRPr="00E23D9D" w:rsidRDefault="007F0CE5" w:rsidP="009E2F1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23D9D">
        <w:rPr>
          <w:rFonts w:ascii="PT Astra Serif" w:hAnsi="PT Astra Serif"/>
          <w:sz w:val="28"/>
          <w:szCs w:val="28"/>
        </w:rPr>
        <w:t>О</w:t>
      </w:r>
      <w:r w:rsidR="00032CFB" w:rsidRPr="00E23D9D">
        <w:rPr>
          <w:rFonts w:ascii="PT Astra Serif" w:hAnsi="PT Astra Serif"/>
          <w:sz w:val="28"/>
          <w:szCs w:val="28"/>
        </w:rPr>
        <w:t xml:space="preserve">б утверждении </w:t>
      </w:r>
      <w:r w:rsidR="0098751A">
        <w:rPr>
          <w:rFonts w:ascii="PT Astra Serif" w:hAnsi="PT Astra Serif"/>
          <w:sz w:val="28"/>
          <w:szCs w:val="28"/>
        </w:rPr>
        <w:t xml:space="preserve">Правил </w:t>
      </w:r>
      <w:r w:rsidR="00032CFB" w:rsidRPr="00E23D9D">
        <w:rPr>
          <w:rFonts w:ascii="PT Astra Serif" w:hAnsi="PT Astra Serif"/>
          <w:sz w:val="28"/>
          <w:szCs w:val="28"/>
        </w:rPr>
        <w:t>составления и утверждения отч</w:t>
      </w:r>
      <w:r w:rsidRPr="00E23D9D">
        <w:rPr>
          <w:rFonts w:ascii="PT Astra Serif" w:hAnsi="PT Astra Serif"/>
          <w:sz w:val="28"/>
          <w:szCs w:val="28"/>
        </w:rPr>
        <w:t>ё</w:t>
      </w:r>
      <w:r w:rsidR="00032CFB" w:rsidRPr="00E23D9D">
        <w:rPr>
          <w:rFonts w:ascii="PT Astra Serif" w:hAnsi="PT Astra Serif"/>
          <w:sz w:val="28"/>
          <w:szCs w:val="28"/>
        </w:rPr>
        <w:t>та о результатах деятельности</w:t>
      </w:r>
      <w:r w:rsidR="0098751A">
        <w:rPr>
          <w:rFonts w:ascii="PT Astra Serif" w:hAnsi="PT Astra Serif"/>
          <w:sz w:val="28"/>
          <w:szCs w:val="28"/>
        </w:rPr>
        <w:t xml:space="preserve"> </w:t>
      </w:r>
      <w:r w:rsidR="00032CFB" w:rsidRPr="00E23D9D">
        <w:rPr>
          <w:rFonts w:ascii="PT Astra Serif" w:hAnsi="PT Astra Serif"/>
          <w:sz w:val="28"/>
          <w:szCs w:val="28"/>
        </w:rPr>
        <w:t xml:space="preserve">государственных учреждений, </w:t>
      </w:r>
      <w:r w:rsidR="0098751A">
        <w:rPr>
          <w:rFonts w:ascii="PT Astra Serif" w:hAnsi="PT Astra Serif"/>
          <w:sz w:val="28"/>
          <w:szCs w:val="28"/>
        </w:rPr>
        <w:t xml:space="preserve">функции учредителя которых осуществляет </w:t>
      </w:r>
      <w:r w:rsidRPr="00E23D9D">
        <w:rPr>
          <w:rFonts w:ascii="PT Astra Serif" w:hAnsi="PT Astra Serif"/>
          <w:sz w:val="28"/>
          <w:szCs w:val="28"/>
        </w:rPr>
        <w:t>М</w:t>
      </w:r>
      <w:r w:rsidR="0098751A">
        <w:rPr>
          <w:rFonts w:ascii="PT Astra Serif" w:hAnsi="PT Astra Serif"/>
          <w:sz w:val="28"/>
          <w:szCs w:val="28"/>
        </w:rPr>
        <w:t>инистерство</w:t>
      </w:r>
      <w:r w:rsidR="00032CFB" w:rsidRPr="00E23D9D">
        <w:rPr>
          <w:rFonts w:ascii="PT Astra Serif" w:hAnsi="PT Astra Serif"/>
          <w:sz w:val="28"/>
          <w:szCs w:val="28"/>
        </w:rPr>
        <w:t xml:space="preserve"> </w:t>
      </w:r>
      <w:r w:rsidRPr="00E23D9D">
        <w:rPr>
          <w:rFonts w:ascii="PT Astra Serif" w:hAnsi="PT Astra Serif"/>
          <w:sz w:val="28"/>
          <w:szCs w:val="28"/>
        </w:rPr>
        <w:t>экономического развития Ульяновской области</w:t>
      </w:r>
      <w:r w:rsidR="00032CFB" w:rsidRPr="00E23D9D">
        <w:rPr>
          <w:rFonts w:ascii="PT Astra Serif" w:hAnsi="PT Astra Serif"/>
          <w:sz w:val="28"/>
          <w:szCs w:val="28"/>
        </w:rPr>
        <w:t>,</w:t>
      </w:r>
    </w:p>
    <w:p w:rsidR="009E2F10" w:rsidRPr="00E23D9D" w:rsidRDefault="00032CFB" w:rsidP="009E2F1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23D9D">
        <w:rPr>
          <w:rFonts w:ascii="PT Astra Serif" w:hAnsi="PT Astra Serif"/>
          <w:sz w:val="28"/>
          <w:szCs w:val="28"/>
        </w:rPr>
        <w:t xml:space="preserve">и об использовании </w:t>
      </w:r>
      <w:proofErr w:type="gramStart"/>
      <w:r w:rsidRPr="00E23D9D">
        <w:rPr>
          <w:rFonts w:ascii="PT Astra Serif" w:hAnsi="PT Astra Serif"/>
          <w:sz w:val="28"/>
          <w:szCs w:val="28"/>
        </w:rPr>
        <w:t>закрепл</w:t>
      </w:r>
      <w:r w:rsidR="007F0CE5" w:rsidRPr="00E23D9D">
        <w:rPr>
          <w:rFonts w:ascii="PT Astra Serif" w:hAnsi="PT Astra Serif"/>
          <w:sz w:val="28"/>
          <w:szCs w:val="28"/>
        </w:rPr>
        <w:t>ё</w:t>
      </w:r>
      <w:r w:rsidRPr="00E23D9D">
        <w:rPr>
          <w:rFonts w:ascii="PT Astra Serif" w:hAnsi="PT Astra Serif"/>
          <w:sz w:val="28"/>
          <w:szCs w:val="28"/>
        </w:rPr>
        <w:t>нного</w:t>
      </w:r>
      <w:proofErr w:type="gramEnd"/>
      <w:r w:rsidRPr="00E23D9D">
        <w:rPr>
          <w:rFonts w:ascii="PT Astra Serif" w:hAnsi="PT Astra Serif"/>
          <w:sz w:val="28"/>
          <w:szCs w:val="28"/>
        </w:rPr>
        <w:t xml:space="preserve"> за ними</w:t>
      </w:r>
    </w:p>
    <w:p w:rsidR="009E2F10" w:rsidRPr="009E2F10" w:rsidRDefault="00032CFB" w:rsidP="009E2F1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23D9D">
        <w:rPr>
          <w:rFonts w:ascii="PT Astra Serif" w:hAnsi="PT Astra Serif"/>
          <w:sz w:val="28"/>
          <w:szCs w:val="28"/>
        </w:rPr>
        <w:t>государственного имущества</w:t>
      </w:r>
    </w:p>
    <w:p w:rsidR="009E2F10" w:rsidRDefault="009E2F10" w:rsidP="009E2F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98751A" w:rsidRPr="009E2F10" w:rsidRDefault="0098751A" w:rsidP="009E2F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9E2F10" w:rsidRPr="007F0CE5" w:rsidRDefault="009E2F10" w:rsidP="009E2F10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 xml:space="preserve">В соответствии с 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>Федеральн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ым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закон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от 12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.01.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>1996</w:t>
      </w:r>
      <w:r w:rsidR="0098751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7-ФЗ</w:t>
      </w:r>
      <w:r w:rsidR="0098751A">
        <w:rPr>
          <w:rFonts w:ascii="PT Astra Serif" w:hAnsi="PT Astra Serif"/>
          <w:color w:val="000000" w:themeColor="text1"/>
          <w:sz w:val="28"/>
          <w:szCs w:val="28"/>
        </w:rPr>
        <w:br/>
        <w:t>«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>О некоммерческих организациях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98751A">
        <w:rPr>
          <w:rFonts w:ascii="PT Astra Serif" w:hAnsi="PT Astra Serif"/>
          <w:color w:val="000000" w:themeColor="text1"/>
          <w:sz w:val="28"/>
          <w:szCs w:val="28"/>
        </w:rPr>
        <w:t xml:space="preserve"> и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7F0CE5" w:rsidRPr="007F0CE5">
        <w:rPr>
          <w:rFonts w:ascii="PT Astra Serif" w:hAnsi="PT Astra Serif"/>
          <w:color w:val="000000" w:themeColor="text1"/>
          <w:sz w:val="28"/>
          <w:szCs w:val="28"/>
        </w:rPr>
        <w:t>риказ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7F0CE5"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Мин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 xml:space="preserve">истерства </w:t>
      </w:r>
      <w:r w:rsidR="007F0CE5" w:rsidRPr="007F0CE5">
        <w:rPr>
          <w:rFonts w:ascii="PT Astra Serif" w:hAnsi="PT Astra Serif"/>
          <w:color w:val="000000" w:themeColor="text1"/>
          <w:sz w:val="28"/>
          <w:szCs w:val="28"/>
        </w:rPr>
        <w:t>фина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нсов</w:t>
      </w:r>
      <w:r w:rsidR="007F0CE5"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Росси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йской Федерации</w:t>
      </w:r>
      <w:r w:rsidR="007F0CE5"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от 02.11.2021 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7F0CE5"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171н 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7F0CE5" w:rsidRPr="007F0CE5">
        <w:rPr>
          <w:rFonts w:ascii="PT Astra Serif" w:hAnsi="PT Astra Serif"/>
          <w:color w:val="000000" w:themeColor="text1"/>
          <w:sz w:val="28"/>
          <w:szCs w:val="28"/>
        </w:rPr>
        <w:t>Об утверждении Общих требований к порядку составления и утверждения отч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7F0CE5" w:rsidRPr="007F0CE5">
        <w:rPr>
          <w:rFonts w:ascii="PT Astra Serif" w:hAnsi="PT Astra Serif"/>
          <w:color w:val="000000" w:themeColor="text1"/>
          <w:sz w:val="28"/>
          <w:szCs w:val="28"/>
        </w:rPr>
        <w:t>та о результатах деятельности государственного (муниципального) учреждения и об использовании закрепленного за ним государствен</w:t>
      </w:r>
      <w:r w:rsidR="0098751A">
        <w:rPr>
          <w:rFonts w:ascii="PT Astra Serif" w:hAnsi="PT Astra Serif"/>
          <w:color w:val="000000" w:themeColor="text1"/>
          <w:sz w:val="28"/>
          <w:szCs w:val="28"/>
        </w:rPr>
        <w:t xml:space="preserve">ного (муниципального) имущества» </w:t>
      </w:r>
      <w:proofErr w:type="gramStart"/>
      <w:r w:rsidR="0098751A"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="0098751A">
        <w:rPr>
          <w:rFonts w:ascii="PT Astra Serif" w:hAnsi="PT Astra Serif"/>
          <w:color w:val="000000" w:themeColor="text1"/>
          <w:sz w:val="28"/>
          <w:szCs w:val="28"/>
        </w:rPr>
        <w:t xml:space="preserve"> р и к а з ы в а ю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9E2F10" w:rsidRPr="007F0CE5" w:rsidRDefault="0098751A" w:rsidP="009E2F10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1. Утвердить прилагаемые Правила </w:t>
      </w:r>
      <w:r w:rsidR="009E2F10" w:rsidRPr="007F0CE5">
        <w:rPr>
          <w:rFonts w:ascii="PT Astra Serif" w:hAnsi="PT Astra Serif"/>
          <w:color w:val="000000" w:themeColor="text1"/>
          <w:sz w:val="28"/>
          <w:szCs w:val="28"/>
        </w:rPr>
        <w:t>составления и утверждения отч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9E2F10" w:rsidRPr="007F0CE5">
        <w:rPr>
          <w:rFonts w:ascii="PT Astra Serif" w:hAnsi="PT Astra Serif"/>
          <w:color w:val="000000" w:themeColor="text1"/>
          <w:sz w:val="28"/>
          <w:szCs w:val="28"/>
        </w:rPr>
        <w:t xml:space="preserve">та о результатах деятельности государственных учреждений,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функции учредителя которых осуществляет </w:t>
      </w:r>
      <w:r w:rsidR="009E2F10" w:rsidRPr="007F0CE5">
        <w:rPr>
          <w:rFonts w:ascii="PT Astra Serif" w:hAnsi="PT Astra Serif"/>
          <w:color w:val="000000" w:themeColor="text1"/>
          <w:sz w:val="28"/>
          <w:szCs w:val="28"/>
        </w:rPr>
        <w:t>Министерств</w:t>
      </w:r>
      <w:r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9E2F10"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экономического развития Ульяновской области</w:t>
      </w:r>
      <w:r w:rsidR="009E2F10" w:rsidRPr="007F0CE5">
        <w:rPr>
          <w:rFonts w:ascii="PT Astra Serif" w:hAnsi="PT Astra Serif"/>
          <w:color w:val="000000" w:themeColor="text1"/>
          <w:sz w:val="28"/>
          <w:szCs w:val="28"/>
        </w:rPr>
        <w:t>, и об использовании закрепл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9E2F10" w:rsidRPr="007F0CE5">
        <w:rPr>
          <w:rFonts w:ascii="PT Astra Serif" w:hAnsi="PT Astra Serif"/>
          <w:color w:val="000000" w:themeColor="text1"/>
          <w:sz w:val="28"/>
          <w:szCs w:val="28"/>
        </w:rPr>
        <w:t>нного за ними государственного имущества.</w:t>
      </w:r>
    </w:p>
    <w:p w:rsidR="009E2F10" w:rsidRPr="007F0CE5" w:rsidRDefault="009E2F10" w:rsidP="009E2F10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F0CE5">
        <w:rPr>
          <w:rFonts w:ascii="PT Astra Serif" w:hAnsi="PT Astra Serif"/>
          <w:color w:val="000000" w:themeColor="text1"/>
          <w:sz w:val="28"/>
          <w:szCs w:val="28"/>
        </w:rPr>
        <w:t xml:space="preserve">2. Признать </w:t>
      </w:r>
      <w:hyperlink r:id="rId7">
        <w:r w:rsidRPr="007F0CE5">
          <w:rPr>
            <w:rFonts w:ascii="PT Astra Serif" w:hAnsi="PT Astra Serif"/>
            <w:color w:val="000000" w:themeColor="text1"/>
            <w:sz w:val="28"/>
            <w:szCs w:val="28"/>
          </w:rPr>
          <w:t>приказ</w:t>
        </w:r>
      </w:hyperlink>
      <w:r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Министерства 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экономики Ульяновской области от 10.10.2011 №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01-517 «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>Об утверждении Порядка составления и утверждения отч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>т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ов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о результатах деятельности 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бюджетных, автономных и казённых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учреждени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й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подведомственных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экономики Ульяновской области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>, об использовании закрепл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>нного за ним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 xml:space="preserve">государственного 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>имущества</w:t>
      </w:r>
      <w:r w:rsidR="007F0CE5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98751A">
        <w:rPr>
          <w:rFonts w:ascii="PT Astra Serif" w:hAnsi="PT Astra Serif"/>
          <w:color w:val="000000" w:themeColor="text1"/>
          <w:sz w:val="28"/>
          <w:szCs w:val="28"/>
        </w:rPr>
        <w:t xml:space="preserve"> утратившим силу</w:t>
      </w:r>
      <w:r w:rsidRPr="007F0CE5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98751A" w:rsidRPr="00736504" w:rsidRDefault="0098751A" w:rsidP="0098751A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736504">
        <w:rPr>
          <w:rFonts w:ascii="PT Astra Serif" w:hAnsi="PT Astra Serif"/>
          <w:sz w:val="28"/>
          <w:szCs w:val="28"/>
        </w:rPr>
        <w:t xml:space="preserve">. Настоящий приказ вступает в силу на следующий день после </w:t>
      </w:r>
      <w:r w:rsidRPr="00736504">
        <w:rPr>
          <w:rFonts w:ascii="PT Astra Serif" w:hAnsi="PT Astra Serif"/>
          <w:sz w:val="28"/>
          <w:szCs w:val="28"/>
        </w:rPr>
        <w:br/>
        <w:t>дня его официального опубликования.</w:t>
      </w:r>
    </w:p>
    <w:p w:rsidR="007F0CE5" w:rsidRDefault="007F0CE5" w:rsidP="007F0CE5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F0CE5" w:rsidRDefault="007F0CE5" w:rsidP="007F0CE5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F0CE5" w:rsidRDefault="007F0CE5" w:rsidP="007F0CE5">
      <w:pPr>
        <w:pStyle w:val="ConsPlusNormal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F0CE5" w:rsidRPr="009E2F10" w:rsidRDefault="007F0CE5" w:rsidP="007F0CE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Министр                                                                                                 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Н.В.Зонтов</w:t>
      </w:r>
      <w:proofErr w:type="spellEnd"/>
    </w:p>
    <w:p w:rsidR="009E2F10" w:rsidRPr="009E2F10" w:rsidRDefault="009E2F10" w:rsidP="009E2F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9E2F10" w:rsidRPr="009E2F10" w:rsidRDefault="009E2F10" w:rsidP="009E2F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9E2F10" w:rsidRPr="009E2F10" w:rsidRDefault="009E2F10" w:rsidP="009E2F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9E2F10" w:rsidRDefault="009E2F10" w:rsidP="009E2F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98751A" w:rsidRDefault="0098751A" w:rsidP="009E2F1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  <w:sectPr w:rsidR="0098751A" w:rsidSect="00387334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E2F10" w:rsidRPr="009E2F10" w:rsidRDefault="0098751A" w:rsidP="0098751A">
      <w:pPr>
        <w:pStyle w:val="ConsPlusNormal"/>
        <w:ind w:left="4395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9E2F10" w:rsidRPr="009E2F10" w:rsidRDefault="009E2F10" w:rsidP="0098751A">
      <w:pPr>
        <w:pStyle w:val="ConsPlusNormal"/>
        <w:ind w:left="4395"/>
        <w:jc w:val="center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 xml:space="preserve">приказом </w:t>
      </w:r>
      <w:r w:rsidR="00E23D9D">
        <w:rPr>
          <w:rFonts w:ascii="PT Astra Serif" w:hAnsi="PT Astra Serif"/>
          <w:sz w:val="28"/>
          <w:szCs w:val="28"/>
        </w:rPr>
        <w:t>Министерства экономического</w:t>
      </w:r>
    </w:p>
    <w:p w:rsidR="009E2F10" w:rsidRPr="009E2F10" w:rsidRDefault="00E23D9D" w:rsidP="0098751A">
      <w:pPr>
        <w:pStyle w:val="ConsPlusNormal"/>
        <w:ind w:left="4395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развития Ульяновской области</w:t>
      </w:r>
    </w:p>
    <w:p w:rsidR="009E2F10" w:rsidRDefault="009E2F10" w:rsidP="009E2F1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98751A" w:rsidRDefault="0098751A" w:rsidP="009E2F1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98751A" w:rsidRDefault="0098751A" w:rsidP="009E2F1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98751A" w:rsidRPr="009E2F10" w:rsidRDefault="0098751A" w:rsidP="009E2F1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9E2F10" w:rsidRPr="009E2F10" w:rsidRDefault="0098751A" w:rsidP="009E2F1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P33"/>
      <w:bookmarkEnd w:id="0"/>
      <w:r>
        <w:rPr>
          <w:rFonts w:ascii="PT Astra Serif" w:hAnsi="PT Astra Serif"/>
          <w:sz w:val="28"/>
          <w:szCs w:val="28"/>
        </w:rPr>
        <w:t>ПРАВИЛА</w:t>
      </w:r>
    </w:p>
    <w:p w:rsidR="00E23D9D" w:rsidRPr="00E23D9D" w:rsidRDefault="00E23D9D" w:rsidP="00E23D9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23D9D">
        <w:rPr>
          <w:rFonts w:ascii="PT Astra Serif" w:hAnsi="PT Astra Serif"/>
          <w:sz w:val="28"/>
          <w:szCs w:val="28"/>
        </w:rPr>
        <w:t>составления и утверждения отчёта о результатах деятельности</w:t>
      </w:r>
    </w:p>
    <w:p w:rsidR="00E23D9D" w:rsidRPr="00E23D9D" w:rsidRDefault="00E23D9D" w:rsidP="00E23D9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23D9D">
        <w:rPr>
          <w:rFonts w:ascii="PT Astra Serif" w:hAnsi="PT Astra Serif"/>
          <w:sz w:val="28"/>
          <w:szCs w:val="28"/>
        </w:rPr>
        <w:t xml:space="preserve">государственных учреждений, </w:t>
      </w:r>
      <w:r w:rsidR="0098751A">
        <w:rPr>
          <w:rFonts w:ascii="PT Astra Serif" w:hAnsi="PT Astra Serif"/>
          <w:sz w:val="28"/>
          <w:szCs w:val="28"/>
        </w:rPr>
        <w:t xml:space="preserve">функции учредителя которых осуществляет </w:t>
      </w:r>
      <w:r w:rsidRPr="00E23D9D">
        <w:rPr>
          <w:rFonts w:ascii="PT Astra Serif" w:hAnsi="PT Astra Serif"/>
          <w:sz w:val="28"/>
          <w:szCs w:val="28"/>
        </w:rPr>
        <w:t>Министерств</w:t>
      </w:r>
      <w:r w:rsidR="0098751A">
        <w:rPr>
          <w:rFonts w:ascii="PT Astra Serif" w:hAnsi="PT Astra Serif"/>
          <w:sz w:val="28"/>
          <w:szCs w:val="28"/>
        </w:rPr>
        <w:t>о</w:t>
      </w:r>
      <w:r w:rsidRPr="00E23D9D">
        <w:rPr>
          <w:rFonts w:ascii="PT Astra Serif" w:hAnsi="PT Astra Serif"/>
          <w:sz w:val="28"/>
          <w:szCs w:val="28"/>
        </w:rPr>
        <w:t xml:space="preserve"> экономического развития Ульяновской области,</w:t>
      </w:r>
    </w:p>
    <w:p w:rsidR="00E23D9D" w:rsidRPr="00E23D9D" w:rsidRDefault="00E23D9D" w:rsidP="00E23D9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23D9D">
        <w:rPr>
          <w:rFonts w:ascii="PT Astra Serif" w:hAnsi="PT Astra Serif"/>
          <w:sz w:val="28"/>
          <w:szCs w:val="28"/>
        </w:rPr>
        <w:t xml:space="preserve">и об использовании </w:t>
      </w:r>
      <w:proofErr w:type="gramStart"/>
      <w:r w:rsidRPr="00E23D9D">
        <w:rPr>
          <w:rFonts w:ascii="PT Astra Serif" w:hAnsi="PT Astra Serif"/>
          <w:sz w:val="28"/>
          <w:szCs w:val="28"/>
        </w:rPr>
        <w:t>закреплённого</w:t>
      </w:r>
      <w:proofErr w:type="gramEnd"/>
      <w:r w:rsidRPr="00E23D9D">
        <w:rPr>
          <w:rFonts w:ascii="PT Astra Serif" w:hAnsi="PT Astra Serif"/>
          <w:sz w:val="28"/>
          <w:szCs w:val="28"/>
        </w:rPr>
        <w:t xml:space="preserve"> за ними</w:t>
      </w:r>
    </w:p>
    <w:p w:rsidR="00E23D9D" w:rsidRPr="009E2F10" w:rsidRDefault="00E23D9D" w:rsidP="00E23D9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23D9D">
        <w:rPr>
          <w:rFonts w:ascii="PT Astra Serif" w:hAnsi="PT Astra Serif"/>
          <w:sz w:val="28"/>
          <w:szCs w:val="28"/>
        </w:rPr>
        <w:t>государственного имущества</w:t>
      </w:r>
    </w:p>
    <w:p w:rsidR="009E2F10" w:rsidRPr="009E2F10" w:rsidRDefault="009E2F10" w:rsidP="009E2F10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:rsidR="00387334" w:rsidRDefault="009E2F10" w:rsidP="00CA6AA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9E2F10">
        <w:rPr>
          <w:rFonts w:ascii="PT Astra Serif" w:hAnsi="PT Astra Serif"/>
          <w:sz w:val="28"/>
          <w:szCs w:val="28"/>
        </w:rPr>
        <w:t xml:space="preserve">1. </w:t>
      </w:r>
      <w:r w:rsidR="0098751A">
        <w:rPr>
          <w:rFonts w:ascii="PT Astra Serif" w:eastAsiaTheme="minorHAnsi" w:hAnsi="PT Astra Serif" w:cs="PT Astra Serif"/>
          <w:sz w:val="28"/>
          <w:szCs w:val="28"/>
          <w:lang w:eastAsia="en-US"/>
        </w:rPr>
        <w:t>Настоящие Правила устанавливают порядок составления и утверждения отчёта о результатах деятельн</w:t>
      </w:r>
      <w:r w:rsidR="00CA6AAF">
        <w:rPr>
          <w:rFonts w:ascii="PT Astra Serif" w:eastAsiaTheme="minorHAnsi" w:hAnsi="PT Astra Serif" w:cs="PT Astra Serif"/>
          <w:sz w:val="28"/>
          <w:szCs w:val="28"/>
          <w:lang w:eastAsia="en-US"/>
        </w:rPr>
        <w:t>ости государственных учреждений</w:t>
      </w:r>
      <w:r w:rsidR="0098751A">
        <w:rPr>
          <w:rFonts w:ascii="PT Astra Serif" w:eastAsiaTheme="minorHAnsi" w:hAnsi="PT Astra Serif" w:cs="PT Astra Serif"/>
          <w:sz w:val="28"/>
          <w:szCs w:val="28"/>
          <w:lang w:eastAsia="en-US"/>
        </w:rPr>
        <w:t>, функции учредителя которых осуществляет Министерство экономического развития Ульяновской области и об использовании закреплённого за ними госуд</w:t>
      </w:r>
      <w:r w:rsidR="00CA6AAF">
        <w:rPr>
          <w:rFonts w:ascii="PT Astra Serif" w:eastAsiaTheme="minorHAnsi" w:hAnsi="PT Astra Serif" w:cs="PT Astra Serif"/>
          <w:sz w:val="28"/>
          <w:szCs w:val="28"/>
          <w:lang w:eastAsia="en-US"/>
        </w:rPr>
        <w:t>арственного имущества (далее – отчё</w:t>
      </w:r>
      <w:r w:rsidR="0098751A">
        <w:rPr>
          <w:rFonts w:ascii="PT Astra Serif" w:eastAsiaTheme="minorHAnsi" w:hAnsi="PT Astra Serif" w:cs="PT Astra Serif"/>
          <w:sz w:val="28"/>
          <w:szCs w:val="28"/>
          <w:lang w:eastAsia="en-US"/>
        </w:rPr>
        <w:t>т</w:t>
      </w:r>
      <w:r w:rsidR="00CA6AAF">
        <w:rPr>
          <w:rFonts w:ascii="PT Astra Serif" w:eastAsiaTheme="minorHAnsi" w:hAnsi="PT Astra Serif" w:cs="PT Astra Serif"/>
          <w:sz w:val="28"/>
          <w:szCs w:val="28"/>
          <w:lang w:eastAsia="en-US"/>
        </w:rPr>
        <w:t>, учреждение и Министерство соответственно</w:t>
      </w:r>
      <w:r w:rsidR="0098751A">
        <w:rPr>
          <w:rFonts w:ascii="PT Astra Serif" w:eastAsiaTheme="minorHAnsi" w:hAnsi="PT Astra Serif" w:cs="PT Astra Serif"/>
          <w:sz w:val="28"/>
          <w:szCs w:val="28"/>
          <w:lang w:eastAsia="en-US"/>
        </w:rPr>
        <w:t>).</w:t>
      </w:r>
      <w:r w:rsidR="00387334" w:rsidRPr="0038733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</w:p>
    <w:p w:rsidR="0098751A" w:rsidRDefault="00387334" w:rsidP="00CA6AA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Под государственными учреждениями в настоящих Правилах понимаются </w:t>
      </w:r>
      <w:r w:rsidRPr="0038733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государственны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</w:t>
      </w:r>
      <w:r w:rsidRPr="0038733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автономны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</w:t>
      </w:r>
      <w:r w:rsidRPr="0038733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бюджетны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</w:t>
      </w:r>
      <w:r w:rsidRPr="0038733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и каз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38733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нны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</w:t>
      </w:r>
      <w:r w:rsidRPr="0038733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учреждения, их обособленны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</w:t>
      </w:r>
      <w:r w:rsidRPr="0038733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подразделения, осуществляющи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</w:t>
      </w:r>
      <w:r w:rsidRPr="0038733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полномочия по ведению бухгалтерского уч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38733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та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. </w:t>
      </w:r>
      <w:bookmarkStart w:id="1" w:name="_GoBack"/>
      <w:bookmarkEnd w:id="1"/>
    </w:p>
    <w:p w:rsidR="009E2F10" w:rsidRDefault="00CA6AAF" w:rsidP="00CA6AA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="009E2F10" w:rsidRPr="009E2F10">
        <w:rPr>
          <w:rFonts w:ascii="PT Astra Serif" w:hAnsi="PT Astra Serif"/>
          <w:sz w:val="28"/>
          <w:szCs w:val="28"/>
        </w:rPr>
        <w:t>Отч</w:t>
      </w:r>
      <w:r w:rsidR="00E23D9D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 xml:space="preserve">т составляется в соответствии с </w:t>
      </w:r>
      <w:hyperlink r:id="rId9">
        <w:r w:rsidR="009E2F10" w:rsidRPr="00E23D9D">
          <w:rPr>
            <w:rFonts w:ascii="PT Astra Serif" w:hAnsi="PT Astra Serif"/>
            <w:color w:val="000000" w:themeColor="text1"/>
            <w:sz w:val="28"/>
            <w:szCs w:val="28"/>
          </w:rPr>
          <w:t>Общими</w:t>
        </w:r>
      </w:hyperlink>
      <w:r w:rsidR="009E2F10" w:rsidRPr="009E2F10">
        <w:rPr>
          <w:rFonts w:ascii="PT Astra Serif" w:hAnsi="PT Astra Serif"/>
          <w:sz w:val="28"/>
          <w:szCs w:val="28"/>
        </w:rPr>
        <w:t xml:space="preserve"> требованиями к порядку составления и утверждения отч</w:t>
      </w:r>
      <w:r w:rsidR="00E23D9D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та о результатах деятельности государственного (муниципального) учреждения и об использовании закрепл</w:t>
      </w:r>
      <w:r w:rsidR="00E23D9D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нного за ним государственного (муниципального) имущества, утвержд</w:t>
      </w:r>
      <w:r w:rsidR="00E23D9D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 xml:space="preserve">нными приказом Министерства финансов Российской Федерации от </w:t>
      </w:r>
      <w:r w:rsidR="00E23D9D">
        <w:rPr>
          <w:rFonts w:ascii="PT Astra Serif" w:hAnsi="PT Astra Serif"/>
          <w:sz w:val="28"/>
          <w:szCs w:val="28"/>
        </w:rPr>
        <w:t>02.11.</w:t>
      </w:r>
      <w:r w:rsidR="0098751A">
        <w:rPr>
          <w:rFonts w:ascii="PT Astra Serif" w:hAnsi="PT Astra Serif"/>
          <w:sz w:val="28"/>
          <w:szCs w:val="28"/>
        </w:rPr>
        <w:t xml:space="preserve">2021 </w:t>
      </w:r>
      <w:r w:rsidR="00E23D9D">
        <w:rPr>
          <w:rFonts w:ascii="PT Astra Serif" w:hAnsi="PT Astra Serif"/>
          <w:sz w:val="28"/>
          <w:szCs w:val="28"/>
        </w:rPr>
        <w:t>№</w:t>
      </w:r>
      <w:r w:rsidR="009E2F10" w:rsidRPr="009E2F10">
        <w:rPr>
          <w:rFonts w:ascii="PT Astra Serif" w:hAnsi="PT Astra Serif"/>
          <w:sz w:val="28"/>
          <w:szCs w:val="28"/>
        </w:rPr>
        <w:t xml:space="preserve"> 171н</w:t>
      </w:r>
      <w:r w:rsidR="0098751A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(муниципального) имущества</w:t>
      </w:r>
      <w:r w:rsidR="0098751A">
        <w:rPr>
          <w:rFonts w:ascii="PT Astra Serif" w:hAnsi="PT Astra Serif"/>
          <w:sz w:val="28"/>
          <w:szCs w:val="28"/>
        </w:rPr>
        <w:t xml:space="preserve">», </w:t>
      </w:r>
      <w:r w:rsidR="009E2F10" w:rsidRPr="009E2F10">
        <w:rPr>
          <w:rFonts w:ascii="PT Astra Serif" w:hAnsi="PT Astra Serif"/>
          <w:sz w:val="28"/>
          <w:szCs w:val="28"/>
        </w:rPr>
        <w:t xml:space="preserve">и настоящим порядком в </w:t>
      </w:r>
      <w:r w:rsidR="00E23D9D">
        <w:rPr>
          <w:rFonts w:ascii="PT Astra Serif" w:hAnsi="PT Astra Serif"/>
          <w:sz w:val="28"/>
          <w:szCs w:val="28"/>
        </w:rPr>
        <w:t>рублях</w:t>
      </w:r>
      <w:r w:rsidR="009E2F10" w:rsidRPr="009E2F10">
        <w:rPr>
          <w:rFonts w:ascii="PT Astra Serif" w:hAnsi="PT Astra Serif"/>
          <w:sz w:val="28"/>
          <w:szCs w:val="28"/>
        </w:rPr>
        <w:t xml:space="preserve"> (в части показателей, формируемых в денежном выражении) по состоянию на 1 января года, следующего за отч</w:t>
      </w:r>
      <w:r w:rsidR="00E23D9D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тным</w:t>
      </w:r>
      <w:r w:rsidR="00DE388B">
        <w:rPr>
          <w:rFonts w:ascii="PT Astra Serif" w:hAnsi="PT Astra Serif"/>
          <w:sz w:val="28"/>
          <w:szCs w:val="28"/>
        </w:rPr>
        <w:t xml:space="preserve"> периодом</w:t>
      </w:r>
      <w:r w:rsidR="009E2F10" w:rsidRPr="009E2F10">
        <w:rPr>
          <w:rFonts w:ascii="PT Astra Serif" w:hAnsi="PT Astra Serif"/>
          <w:sz w:val="28"/>
          <w:szCs w:val="28"/>
        </w:rPr>
        <w:t>.</w:t>
      </w:r>
    </w:p>
    <w:p w:rsidR="0091507D" w:rsidRDefault="0091507D" w:rsidP="00CA6AA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 отчёта утверждается правовым актом Министерства.</w:t>
      </w:r>
    </w:p>
    <w:p w:rsidR="00387334" w:rsidRPr="00387334" w:rsidRDefault="00387334" w:rsidP="00387334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Отчё</w:t>
      </w:r>
      <w:r w:rsidRPr="0038733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т составляется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учреждением </w:t>
      </w:r>
      <w:r w:rsidRPr="0038733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 уч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ё</w:t>
      </w:r>
      <w:r w:rsidRPr="0038733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том требований законодательства Российской Федерации о защите государственной тайны.</w:t>
      </w:r>
    </w:p>
    <w:p w:rsidR="009E2F10" w:rsidRPr="009E2F10" w:rsidRDefault="00CA6AAF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41"/>
      <w:bookmarkEnd w:id="2"/>
      <w:r>
        <w:rPr>
          <w:rFonts w:ascii="PT Astra Serif" w:hAnsi="PT Astra Serif"/>
          <w:sz w:val="28"/>
          <w:szCs w:val="28"/>
        </w:rPr>
        <w:t>3</w:t>
      </w:r>
      <w:r w:rsidR="009E2F10" w:rsidRPr="009E2F10">
        <w:rPr>
          <w:rFonts w:ascii="PT Astra Serif" w:hAnsi="PT Astra Serif"/>
          <w:sz w:val="28"/>
          <w:szCs w:val="28"/>
        </w:rPr>
        <w:t>. Отч</w:t>
      </w:r>
      <w:r w:rsidR="00174FD2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 xml:space="preserve">т учреждения утверждается </w:t>
      </w:r>
      <w:r w:rsidR="00174FD2">
        <w:rPr>
          <w:rFonts w:ascii="PT Astra Serif" w:hAnsi="PT Astra Serif"/>
          <w:sz w:val="28"/>
          <w:szCs w:val="28"/>
        </w:rPr>
        <w:t xml:space="preserve">руководителем </w:t>
      </w:r>
      <w:r w:rsidR="009E2F10" w:rsidRPr="009E2F10">
        <w:rPr>
          <w:rFonts w:ascii="PT Astra Serif" w:hAnsi="PT Astra Serif"/>
          <w:sz w:val="28"/>
          <w:szCs w:val="28"/>
        </w:rPr>
        <w:t>учреждени</w:t>
      </w:r>
      <w:r w:rsidR="00174FD2">
        <w:rPr>
          <w:rFonts w:ascii="PT Astra Serif" w:hAnsi="PT Astra Serif"/>
          <w:sz w:val="28"/>
          <w:szCs w:val="28"/>
        </w:rPr>
        <w:t>я</w:t>
      </w:r>
      <w:r w:rsidR="009E2F10" w:rsidRPr="009E2F10">
        <w:rPr>
          <w:rFonts w:ascii="PT Astra Serif" w:hAnsi="PT Astra Serif"/>
          <w:sz w:val="28"/>
          <w:szCs w:val="28"/>
        </w:rPr>
        <w:t xml:space="preserve"> и представляется в Министерство </w:t>
      </w:r>
      <w:r w:rsidR="00174FD2">
        <w:rPr>
          <w:rFonts w:ascii="PT Astra Serif" w:hAnsi="PT Astra Serif"/>
          <w:sz w:val="28"/>
          <w:szCs w:val="28"/>
        </w:rPr>
        <w:t xml:space="preserve">на согласование </w:t>
      </w:r>
      <w:r w:rsidR="009E2F10" w:rsidRPr="009E2F10">
        <w:rPr>
          <w:rFonts w:ascii="PT Astra Serif" w:hAnsi="PT Astra Serif"/>
          <w:sz w:val="28"/>
          <w:szCs w:val="28"/>
        </w:rPr>
        <w:t>не позднее 1 марта года, следующего за отч</w:t>
      </w:r>
      <w:r w:rsidR="00174FD2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тным</w:t>
      </w:r>
      <w:r w:rsidR="00174FD2">
        <w:rPr>
          <w:rFonts w:ascii="PT Astra Serif" w:hAnsi="PT Astra Serif"/>
          <w:sz w:val="28"/>
          <w:szCs w:val="28"/>
        </w:rPr>
        <w:t xml:space="preserve"> периодом</w:t>
      </w:r>
      <w:r w:rsidR="009E2F10" w:rsidRPr="009E2F10">
        <w:rPr>
          <w:rFonts w:ascii="PT Astra Serif" w:hAnsi="PT Astra Serif"/>
          <w:sz w:val="28"/>
          <w:szCs w:val="28"/>
        </w:rPr>
        <w:t>, или первого рабочего дня, следующего за указанной датой.</w:t>
      </w:r>
    </w:p>
    <w:p w:rsidR="009E2F10" w:rsidRPr="009E2F10" w:rsidRDefault="0091507D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P53"/>
      <w:bookmarkEnd w:id="3"/>
      <w:r>
        <w:rPr>
          <w:rFonts w:ascii="PT Astra Serif" w:hAnsi="PT Astra Serif"/>
          <w:sz w:val="28"/>
          <w:szCs w:val="28"/>
        </w:rPr>
        <w:t>4</w:t>
      </w:r>
      <w:r w:rsidR="009E2F10" w:rsidRPr="009E2F10">
        <w:rPr>
          <w:rFonts w:ascii="PT Astra Serif" w:hAnsi="PT Astra Serif"/>
          <w:sz w:val="28"/>
          <w:szCs w:val="28"/>
        </w:rPr>
        <w:t>. Министер</w:t>
      </w:r>
      <w:r w:rsidR="00CA6AAF">
        <w:rPr>
          <w:rFonts w:ascii="PT Astra Serif" w:hAnsi="PT Astra Serif"/>
          <w:sz w:val="28"/>
          <w:szCs w:val="28"/>
        </w:rPr>
        <w:t xml:space="preserve">ство </w:t>
      </w:r>
      <w:r>
        <w:rPr>
          <w:rFonts w:ascii="PT Astra Serif" w:hAnsi="PT Astra Serif"/>
          <w:sz w:val="28"/>
          <w:szCs w:val="28"/>
        </w:rPr>
        <w:t xml:space="preserve">рассматривает </w:t>
      </w:r>
      <w:r w:rsidR="00CA6AAF">
        <w:rPr>
          <w:rFonts w:ascii="PT Astra Serif" w:hAnsi="PT Astra Serif"/>
          <w:sz w:val="28"/>
          <w:szCs w:val="28"/>
        </w:rPr>
        <w:t>о</w:t>
      </w:r>
      <w:r w:rsidR="009E2F10" w:rsidRPr="009E2F10">
        <w:rPr>
          <w:rFonts w:ascii="PT Astra Serif" w:hAnsi="PT Astra Serif"/>
          <w:sz w:val="28"/>
          <w:szCs w:val="28"/>
        </w:rPr>
        <w:t>тч</w:t>
      </w:r>
      <w:r w:rsidR="00174FD2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 в течение 15 рабочих дней, следующих за дн</w:t>
      </w:r>
      <w:r w:rsidR="00174FD2">
        <w:rPr>
          <w:rFonts w:ascii="PT Astra Serif" w:hAnsi="PT Astra Serif"/>
          <w:sz w:val="28"/>
          <w:szCs w:val="28"/>
        </w:rPr>
        <w:t>ё</w:t>
      </w:r>
      <w:r w:rsidR="00CA6AAF">
        <w:rPr>
          <w:rFonts w:ascii="PT Astra Serif" w:hAnsi="PT Astra Serif"/>
          <w:sz w:val="28"/>
          <w:szCs w:val="28"/>
        </w:rPr>
        <w:t>м поступления о</w:t>
      </w:r>
      <w:r w:rsidR="009E2F10" w:rsidRPr="009E2F10">
        <w:rPr>
          <w:rFonts w:ascii="PT Astra Serif" w:hAnsi="PT Astra Serif"/>
          <w:sz w:val="28"/>
          <w:szCs w:val="28"/>
        </w:rPr>
        <w:t>тч</w:t>
      </w:r>
      <w:r w:rsidR="00174FD2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та.</w:t>
      </w:r>
    </w:p>
    <w:p w:rsidR="009E2F10" w:rsidRPr="009E2F10" w:rsidRDefault="0091507D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P54"/>
      <w:bookmarkEnd w:id="4"/>
      <w:r>
        <w:rPr>
          <w:rFonts w:ascii="PT Astra Serif" w:hAnsi="PT Astra Serif"/>
          <w:sz w:val="28"/>
          <w:szCs w:val="28"/>
        </w:rPr>
        <w:t>5</w:t>
      </w:r>
      <w:r w:rsidR="009E2F10" w:rsidRPr="009E2F10">
        <w:rPr>
          <w:rFonts w:ascii="PT Astra Serif" w:hAnsi="PT Astra Serif"/>
          <w:sz w:val="28"/>
          <w:szCs w:val="28"/>
        </w:rPr>
        <w:t xml:space="preserve">. Не позднее срока, указанного в </w:t>
      </w:r>
      <w:hyperlink w:anchor="P53">
        <w:r w:rsidR="009E2F10" w:rsidRPr="00174FD2">
          <w:rPr>
            <w:rFonts w:ascii="PT Astra Serif" w:hAnsi="PT Astra Serif"/>
            <w:color w:val="000000" w:themeColor="text1"/>
            <w:sz w:val="28"/>
            <w:szCs w:val="28"/>
          </w:rPr>
          <w:t xml:space="preserve">пункте </w:t>
        </w:r>
      </w:hyperlink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9E2F10" w:rsidRPr="00174FD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E2F10" w:rsidRPr="009E2F10">
        <w:rPr>
          <w:rFonts w:ascii="PT Astra Serif" w:hAnsi="PT Astra Serif"/>
          <w:sz w:val="28"/>
          <w:szCs w:val="28"/>
        </w:rPr>
        <w:t>настоящего поряд</w:t>
      </w:r>
      <w:r>
        <w:rPr>
          <w:rFonts w:ascii="PT Astra Serif" w:hAnsi="PT Astra Serif"/>
          <w:sz w:val="28"/>
          <w:szCs w:val="28"/>
        </w:rPr>
        <w:t xml:space="preserve">ка, </w:t>
      </w:r>
      <w:r>
        <w:rPr>
          <w:rFonts w:ascii="PT Astra Serif" w:hAnsi="PT Astra Serif"/>
          <w:sz w:val="28"/>
          <w:szCs w:val="28"/>
        </w:rPr>
        <w:lastRenderedPageBreak/>
        <w:t>Министерство согласовывает о</w:t>
      </w:r>
      <w:r w:rsidR="009E2F10" w:rsidRPr="009E2F10">
        <w:rPr>
          <w:rFonts w:ascii="PT Astra Serif" w:hAnsi="PT Astra Serif"/>
          <w:sz w:val="28"/>
          <w:szCs w:val="28"/>
        </w:rPr>
        <w:t>тч</w:t>
      </w:r>
      <w:r w:rsidR="00174FD2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 либо в случаях установления факта недостоверности представленной учреждением информации и (или) представления указанной информации не в полном объ</w:t>
      </w:r>
      <w:r w:rsidR="00174FD2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ме направляет учреждению требование о доработке с указанием причин, послуживших основанием для необходимости его доработки.</w:t>
      </w:r>
    </w:p>
    <w:p w:rsidR="009E2F10" w:rsidRPr="009E2F10" w:rsidRDefault="0091507D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P55"/>
      <w:bookmarkEnd w:id="5"/>
      <w:r>
        <w:rPr>
          <w:rFonts w:ascii="PT Astra Serif" w:hAnsi="PT Astra Serif"/>
          <w:sz w:val="28"/>
          <w:szCs w:val="28"/>
        </w:rPr>
        <w:t>6</w:t>
      </w:r>
      <w:r w:rsidR="009E2F10" w:rsidRPr="009E2F10">
        <w:rPr>
          <w:rFonts w:ascii="PT Astra Serif" w:hAnsi="PT Astra Serif"/>
          <w:sz w:val="28"/>
          <w:szCs w:val="28"/>
        </w:rPr>
        <w:t xml:space="preserve">. Учреждение в срок не позднее 3 рабочих дней после дня получения требования о доработке </w:t>
      </w:r>
      <w:r>
        <w:rPr>
          <w:rFonts w:ascii="PT Astra Serif" w:hAnsi="PT Astra Serif"/>
          <w:sz w:val="28"/>
          <w:szCs w:val="28"/>
        </w:rPr>
        <w:t>о</w:t>
      </w:r>
      <w:r w:rsidR="009E2F10" w:rsidRPr="009E2F10">
        <w:rPr>
          <w:rFonts w:ascii="PT Astra Serif" w:hAnsi="PT Astra Serif"/>
          <w:sz w:val="28"/>
          <w:szCs w:val="28"/>
        </w:rPr>
        <w:t>тч</w:t>
      </w:r>
      <w:r w:rsidR="00174FD2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 xml:space="preserve">та вносит изменения в </w:t>
      </w:r>
      <w:r>
        <w:rPr>
          <w:rFonts w:ascii="PT Astra Serif" w:hAnsi="PT Astra Serif"/>
          <w:sz w:val="28"/>
          <w:szCs w:val="28"/>
        </w:rPr>
        <w:t>о</w:t>
      </w:r>
      <w:r w:rsidR="009E2F10" w:rsidRPr="009E2F10">
        <w:rPr>
          <w:rFonts w:ascii="PT Astra Serif" w:hAnsi="PT Astra Serif"/>
          <w:sz w:val="28"/>
          <w:szCs w:val="28"/>
        </w:rPr>
        <w:t>тч</w:t>
      </w:r>
      <w:r w:rsidR="00174FD2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 в соответствии с полученными замечан</w:t>
      </w:r>
      <w:r>
        <w:rPr>
          <w:rFonts w:ascii="PT Astra Serif" w:hAnsi="PT Astra Serif"/>
          <w:sz w:val="28"/>
          <w:szCs w:val="28"/>
        </w:rPr>
        <w:t>иями и направляет доработанный о</w:t>
      </w:r>
      <w:r w:rsidR="009E2F10" w:rsidRPr="009E2F10">
        <w:rPr>
          <w:rFonts w:ascii="PT Astra Serif" w:hAnsi="PT Astra Serif"/>
          <w:sz w:val="28"/>
          <w:szCs w:val="28"/>
        </w:rPr>
        <w:t>тч</w:t>
      </w:r>
      <w:r w:rsidR="00174FD2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 в Министерство.</w:t>
      </w:r>
    </w:p>
    <w:p w:rsidR="009E2F10" w:rsidRPr="009E2F10" w:rsidRDefault="0091507D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P56"/>
      <w:bookmarkEnd w:id="6"/>
      <w:r>
        <w:rPr>
          <w:rFonts w:ascii="PT Astra Serif" w:hAnsi="PT Astra Serif"/>
          <w:sz w:val="28"/>
          <w:szCs w:val="28"/>
        </w:rPr>
        <w:t>7</w:t>
      </w:r>
      <w:r w:rsidR="009E2F10" w:rsidRPr="009E2F10">
        <w:rPr>
          <w:rFonts w:ascii="PT Astra Serif" w:hAnsi="PT Astra Serif"/>
          <w:sz w:val="28"/>
          <w:szCs w:val="28"/>
        </w:rPr>
        <w:t>. Министерство не позднее 5 рабочих дней пос</w:t>
      </w:r>
      <w:r>
        <w:rPr>
          <w:rFonts w:ascii="PT Astra Serif" w:hAnsi="PT Astra Serif"/>
          <w:sz w:val="28"/>
          <w:szCs w:val="28"/>
        </w:rPr>
        <w:t>ле дня получения доработанного о</w:t>
      </w:r>
      <w:r w:rsidR="009E2F10" w:rsidRPr="009E2F10">
        <w:rPr>
          <w:rFonts w:ascii="PT Astra Serif" w:hAnsi="PT Astra Serif"/>
          <w:sz w:val="28"/>
          <w:szCs w:val="28"/>
        </w:rPr>
        <w:t>тч</w:t>
      </w:r>
      <w:r w:rsidR="00174FD2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 xml:space="preserve">та рассматривает его и согласовывает либо направляет учреждению требование о его повторной доработке по основаниям, указанным в </w:t>
      </w:r>
      <w:hyperlink w:anchor="P54">
        <w:r w:rsidR="009E2F10" w:rsidRPr="00174FD2">
          <w:rPr>
            <w:rFonts w:ascii="PT Astra Serif" w:hAnsi="PT Astra Serif"/>
            <w:color w:val="000000" w:themeColor="text1"/>
            <w:sz w:val="28"/>
            <w:szCs w:val="28"/>
          </w:rPr>
          <w:t xml:space="preserve">пункте </w:t>
        </w:r>
      </w:hyperlink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9E2F10" w:rsidRPr="00174FD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E2F10" w:rsidRPr="009E2F10">
        <w:rPr>
          <w:rFonts w:ascii="PT Astra Serif" w:hAnsi="PT Astra Serif"/>
          <w:sz w:val="28"/>
          <w:szCs w:val="28"/>
        </w:rPr>
        <w:t>настоящего порядка.</w:t>
      </w:r>
    </w:p>
    <w:p w:rsidR="009E2F10" w:rsidRPr="009E2F10" w:rsidRDefault="0091507D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 Повторная доработка о</w:t>
      </w:r>
      <w:r w:rsidR="009E2F10" w:rsidRPr="009E2F10">
        <w:rPr>
          <w:rFonts w:ascii="PT Astra Serif" w:hAnsi="PT Astra Serif"/>
          <w:sz w:val="28"/>
          <w:szCs w:val="28"/>
        </w:rPr>
        <w:t>тч</w:t>
      </w:r>
      <w:r w:rsidR="00D74926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 xml:space="preserve">та учреждением и его последующее рассмотрение Министерством осуществляются в соответствии с </w:t>
      </w:r>
      <w:hyperlink w:anchor="P55">
        <w:r w:rsidR="009E2F10" w:rsidRPr="00D74926">
          <w:rPr>
            <w:rFonts w:ascii="PT Astra Serif" w:hAnsi="PT Astra Serif"/>
            <w:color w:val="000000" w:themeColor="text1"/>
            <w:sz w:val="28"/>
            <w:szCs w:val="28"/>
          </w:rPr>
          <w:t xml:space="preserve">пунктами </w:t>
        </w:r>
      </w:hyperlink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9E2F10" w:rsidRPr="00D74926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w:anchor="P56">
        <w:r>
          <w:rPr>
            <w:rFonts w:ascii="PT Astra Serif" w:hAnsi="PT Astra Serif"/>
            <w:color w:val="000000" w:themeColor="text1"/>
            <w:sz w:val="28"/>
            <w:szCs w:val="28"/>
          </w:rPr>
          <w:t>7</w:t>
        </w:r>
      </w:hyperlink>
      <w:r w:rsidR="009E2F10" w:rsidRPr="00D7492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9E2F10" w:rsidRPr="009E2F10">
        <w:rPr>
          <w:rFonts w:ascii="PT Astra Serif" w:hAnsi="PT Astra Serif"/>
          <w:sz w:val="28"/>
          <w:szCs w:val="28"/>
        </w:rPr>
        <w:t>настоящ</w:t>
      </w:r>
      <w:r>
        <w:rPr>
          <w:rFonts w:ascii="PT Astra Serif" w:hAnsi="PT Astra Serif"/>
          <w:sz w:val="28"/>
          <w:szCs w:val="28"/>
        </w:rPr>
        <w:t xml:space="preserve">их Правил </w:t>
      </w:r>
      <w:r w:rsidR="009E2F10" w:rsidRPr="009E2F10">
        <w:rPr>
          <w:rFonts w:ascii="PT Astra Serif" w:hAnsi="PT Astra Serif"/>
          <w:sz w:val="28"/>
          <w:szCs w:val="28"/>
        </w:rPr>
        <w:t>соответственно.</w:t>
      </w:r>
    </w:p>
    <w:p w:rsidR="009E2F10" w:rsidRPr="009E2F10" w:rsidRDefault="0091507D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9E2F10" w:rsidRPr="009E2F10">
        <w:rPr>
          <w:rFonts w:ascii="PT Astra Serif" w:hAnsi="PT Astra Serif"/>
          <w:sz w:val="28"/>
          <w:szCs w:val="28"/>
        </w:rPr>
        <w:t xml:space="preserve">. Показатели </w:t>
      </w:r>
      <w:r>
        <w:rPr>
          <w:rFonts w:ascii="PT Astra Serif" w:hAnsi="PT Astra Serif"/>
          <w:sz w:val="28"/>
          <w:szCs w:val="28"/>
        </w:rPr>
        <w:t>о</w:t>
      </w:r>
      <w:r w:rsidR="009E2F10" w:rsidRPr="009E2F10">
        <w:rPr>
          <w:rFonts w:ascii="PT Astra Serif" w:hAnsi="PT Astra Serif"/>
          <w:sz w:val="28"/>
          <w:szCs w:val="28"/>
        </w:rPr>
        <w:t>тч</w:t>
      </w:r>
      <w:r w:rsidR="00D74926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та, формируемые в денежном выражении, должны быть сопоставимы с показателями, включаемыми в состав бухгалтерской отч</w:t>
      </w:r>
      <w:r w:rsidR="00D74926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тности учреждени</w:t>
      </w:r>
      <w:r>
        <w:rPr>
          <w:rFonts w:ascii="PT Astra Serif" w:hAnsi="PT Astra Serif"/>
          <w:sz w:val="28"/>
          <w:szCs w:val="28"/>
        </w:rPr>
        <w:t>я</w:t>
      </w:r>
      <w:r w:rsidR="009E2F10" w:rsidRPr="009E2F10">
        <w:rPr>
          <w:rFonts w:ascii="PT Astra Serif" w:hAnsi="PT Astra Serif"/>
          <w:sz w:val="28"/>
          <w:szCs w:val="28"/>
        </w:rPr>
        <w:t>.</w:t>
      </w:r>
    </w:p>
    <w:p w:rsidR="009E2F10" w:rsidRPr="009E2F10" w:rsidRDefault="0091507D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9E2F10" w:rsidRPr="009E2F1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E2F10" w:rsidRPr="009E2F10">
        <w:rPr>
          <w:rFonts w:ascii="PT Astra Serif" w:hAnsi="PT Astra Serif"/>
          <w:sz w:val="28"/>
          <w:szCs w:val="28"/>
        </w:rPr>
        <w:t>Отч</w:t>
      </w:r>
      <w:r w:rsidR="00D74926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 xml:space="preserve">т в заголовочной части должен содержать наименование учреждения, составившего </w:t>
      </w:r>
      <w:r>
        <w:rPr>
          <w:rFonts w:ascii="PT Astra Serif" w:hAnsi="PT Astra Serif"/>
          <w:sz w:val="28"/>
          <w:szCs w:val="28"/>
        </w:rPr>
        <w:t>о</w:t>
      </w:r>
      <w:r w:rsidR="009E2F10" w:rsidRPr="009E2F10">
        <w:rPr>
          <w:rFonts w:ascii="PT Astra Serif" w:hAnsi="PT Astra Serif"/>
          <w:sz w:val="28"/>
          <w:szCs w:val="28"/>
        </w:rPr>
        <w:t>тч</w:t>
      </w:r>
      <w:r w:rsidR="00D74926"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</w:t>
      </w:r>
      <w:r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 xml:space="preserve">т, наименование </w:t>
      </w:r>
      <w:r>
        <w:rPr>
          <w:rFonts w:ascii="PT Astra Serif" w:hAnsi="PT Astra Serif"/>
          <w:sz w:val="28"/>
          <w:szCs w:val="28"/>
        </w:rPr>
        <w:t xml:space="preserve">Министерства </w:t>
      </w:r>
      <w:r w:rsidR="009E2F10" w:rsidRPr="009E2F10">
        <w:rPr>
          <w:rFonts w:ascii="PT Astra Serif" w:hAnsi="PT Astra Serif"/>
          <w:sz w:val="28"/>
          <w:szCs w:val="28"/>
        </w:rPr>
        <w:t xml:space="preserve">с указанием кода главы по бюджетной классификации, наименование публично-правового образования с указанием кода по Общероссийскому </w:t>
      </w:r>
      <w:hyperlink r:id="rId10">
        <w:r w:rsidR="009E2F10" w:rsidRPr="00D74926">
          <w:rPr>
            <w:rFonts w:ascii="PT Astra Serif" w:hAnsi="PT Astra Serif"/>
            <w:color w:val="000000" w:themeColor="text1"/>
            <w:sz w:val="28"/>
            <w:szCs w:val="28"/>
          </w:rPr>
          <w:t>классификатору</w:t>
        </w:r>
      </w:hyperlink>
      <w:r w:rsidR="009E2F10" w:rsidRPr="009E2F10">
        <w:rPr>
          <w:rFonts w:ascii="PT Astra Serif" w:hAnsi="PT Astra Serif"/>
          <w:sz w:val="28"/>
          <w:szCs w:val="28"/>
        </w:rPr>
        <w:t xml:space="preserve"> территорий муниципальных образований.</w:t>
      </w:r>
      <w:proofErr w:type="gramEnd"/>
    </w:p>
    <w:p w:rsidR="009E2F10" w:rsidRPr="009E2F10" w:rsidRDefault="00D74926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91507D">
        <w:rPr>
          <w:rFonts w:ascii="PT Astra Serif" w:hAnsi="PT Astra Serif"/>
          <w:sz w:val="28"/>
          <w:szCs w:val="28"/>
        </w:rPr>
        <w:t>1</w:t>
      </w:r>
      <w:r w:rsidR="009E2F10" w:rsidRPr="009E2F10">
        <w:rPr>
          <w:rFonts w:ascii="PT Astra Serif" w:hAnsi="PT Astra Serif"/>
          <w:sz w:val="28"/>
          <w:szCs w:val="28"/>
        </w:rPr>
        <w:t>. Отч</w:t>
      </w:r>
      <w:r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 учреждения составляется в разрезе следующих разделов: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 xml:space="preserve">раздел 1 </w:t>
      </w:r>
      <w:r w:rsidR="00D74926">
        <w:rPr>
          <w:rFonts w:ascii="PT Astra Serif" w:hAnsi="PT Astra Serif"/>
          <w:sz w:val="28"/>
          <w:szCs w:val="28"/>
        </w:rPr>
        <w:t>«</w:t>
      </w:r>
      <w:r w:rsidRPr="009E2F10">
        <w:rPr>
          <w:rFonts w:ascii="PT Astra Serif" w:hAnsi="PT Astra Serif"/>
          <w:sz w:val="28"/>
          <w:szCs w:val="28"/>
        </w:rPr>
        <w:t>Результаты деятельности</w:t>
      </w:r>
      <w:r w:rsidR="00D74926">
        <w:rPr>
          <w:rFonts w:ascii="PT Astra Serif" w:hAnsi="PT Astra Serif"/>
          <w:sz w:val="28"/>
          <w:szCs w:val="28"/>
        </w:rPr>
        <w:t>»</w:t>
      </w:r>
      <w:r w:rsidRPr="009E2F10">
        <w:rPr>
          <w:rFonts w:ascii="PT Astra Serif" w:hAnsi="PT Astra Serif"/>
          <w:sz w:val="28"/>
          <w:szCs w:val="28"/>
        </w:rPr>
        <w:t>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 xml:space="preserve">раздел 2 </w:t>
      </w:r>
      <w:r w:rsidR="00D74926">
        <w:rPr>
          <w:rFonts w:ascii="PT Astra Serif" w:hAnsi="PT Astra Serif"/>
          <w:sz w:val="28"/>
          <w:szCs w:val="28"/>
        </w:rPr>
        <w:t>«</w:t>
      </w:r>
      <w:r w:rsidRPr="009E2F10">
        <w:rPr>
          <w:rFonts w:ascii="PT Astra Serif" w:hAnsi="PT Astra Serif"/>
          <w:sz w:val="28"/>
          <w:szCs w:val="28"/>
        </w:rPr>
        <w:t>Использование имущества, закрепл</w:t>
      </w:r>
      <w:r w:rsidR="00D74926">
        <w:rPr>
          <w:rFonts w:ascii="PT Astra Serif" w:hAnsi="PT Astra Serif"/>
          <w:sz w:val="28"/>
          <w:szCs w:val="28"/>
        </w:rPr>
        <w:t>ё</w:t>
      </w:r>
      <w:r w:rsidRPr="009E2F10">
        <w:rPr>
          <w:rFonts w:ascii="PT Astra Serif" w:hAnsi="PT Astra Serif"/>
          <w:sz w:val="28"/>
          <w:szCs w:val="28"/>
        </w:rPr>
        <w:t>нного за учреждением</w:t>
      </w:r>
      <w:r w:rsidR="00D74926">
        <w:rPr>
          <w:rFonts w:ascii="PT Astra Serif" w:hAnsi="PT Astra Serif"/>
          <w:sz w:val="28"/>
          <w:szCs w:val="28"/>
        </w:rPr>
        <w:t>»</w:t>
      </w:r>
      <w:r w:rsidRPr="009E2F10">
        <w:rPr>
          <w:rFonts w:ascii="PT Astra Serif" w:hAnsi="PT Astra Serif"/>
          <w:sz w:val="28"/>
          <w:szCs w:val="28"/>
        </w:rPr>
        <w:t>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 xml:space="preserve">раздел 3 </w:t>
      </w:r>
      <w:r w:rsidR="00D74926">
        <w:rPr>
          <w:rFonts w:ascii="PT Astra Serif" w:hAnsi="PT Astra Serif"/>
          <w:sz w:val="28"/>
          <w:szCs w:val="28"/>
        </w:rPr>
        <w:t>«</w:t>
      </w:r>
      <w:r w:rsidRPr="009E2F10">
        <w:rPr>
          <w:rFonts w:ascii="PT Astra Serif" w:hAnsi="PT Astra Serif"/>
          <w:sz w:val="28"/>
          <w:szCs w:val="28"/>
        </w:rPr>
        <w:t>Эффективность деятельности</w:t>
      </w:r>
      <w:r w:rsidR="00D74926">
        <w:rPr>
          <w:rFonts w:ascii="PT Astra Serif" w:hAnsi="PT Astra Serif"/>
          <w:sz w:val="28"/>
          <w:szCs w:val="28"/>
        </w:rPr>
        <w:t>»</w:t>
      </w:r>
      <w:r w:rsidRPr="009E2F10">
        <w:rPr>
          <w:rFonts w:ascii="PT Astra Serif" w:hAnsi="PT Astra Serif"/>
          <w:sz w:val="28"/>
          <w:szCs w:val="28"/>
        </w:rPr>
        <w:t xml:space="preserve"> (формируется учреждени</w:t>
      </w:r>
      <w:r w:rsidR="0091507D">
        <w:rPr>
          <w:rFonts w:ascii="PT Astra Serif" w:hAnsi="PT Astra Serif"/>
          <w:sz w:val="28"/>
          <w:szCs w:val="28"/>
        </w:rPr>
        <w:t>ем</w:t>
      </w:r>
      <w:r w:rsidRPr="009E2F10">
        <w:rPr>
          <w:rFonts w:ascii="PT Astra Serif" w:hAnsi="PT Astra Serif"/>
          <w:sz w:val="28"/>
          <w:szCs w:val="28"/>
        </w:rPr>
        <w:t xml:space="preserve"> в случае наделения полномочиями по исполнению государственных функций, а также осуществления полномочий по обеспечению деятельности Министерства).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1</w:t>
      </w:r>
      <w:r w:rsidR="0091507D">
        <w:rPr>
          <w:rFonts w:ascii="PT Astra Serif" w:hAnsi="PT Astra Serif"/>
          <w:sz w:val="28"/>
          <w:szCs w:val="28"/>
        </w:rPr>
        <w:t>2</w:t>
      </w:r>
      <w:r w:rsidRPr="009E2F10">
        <w:rPr>
          <w:rFonts w:ascii="PT Astra Serif" w:hAnsi="PT Astra Serif"/>
          <w:sz w:val="28"/>
          <w:szCs w:val="28"/>
        </w:rPr>
        <w:t xml:space="preserve">. В раздел 1 </w:t>
      </w:r>
      <w:r w:rsidR="007117D9">
        <w:rPr>
          <w:rFonts w:ascii="PT Astra Serif" w:hAnsi="PT Astra Serif"/>
          <w:sz w:val="28"/>
          <w:szCs w:val="28"/>
        </w:rPr>
        <w:t>«</w:t>
      </w:r>
      <w:r w:rsidRPr="009E2F10">
        <w:rPr>
          <w:rFonts w:ascii="PT Astra Serif" w:hAnsi="PT Astra Serif"/>
          <w:sz w:val="28"/>
          <w:szCs w:val="28"/>
        </w:rPr>
        <w:t>Результаты деятельности</w:t>
      </w:r>
      <w:r w:rsidR="007117D9">
        <w:rPr>
          <w:rFonts w:ascii="PT Astra Serif" w:hAnsi="PT Astra Serif"/>
          <w:sz w:val="28"/>
          <w:szCs w:val="28"/>
        </w:rPr>
        <w:t>»</w:t>
      </w:r>
      <w:r w:rsidRPr="009E2F10">
        <w:rPr>
          <w:rFonts w:ascii="PT Astra Serif" w:hAnsi="PT Astra Serif"/>
          <w:sz w:val="28"/>
          <w:szCs w:val="28"/>
        </w:rPr>
        <w:t xml:space="preserve"> включаются: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отч</w:t>
      </w:r>
      <w:r w:rsidR="007117D9">
        <w:rPr>
          <w:rFonts w:ascii="PT Astra Serif" w:hAnsi="PT Astra Serif"/>
          <w:sz w:val="28"/>
          <w:szCs w:val="28"/>
        </w:rPr>
        <w:t>ё</w:t>
      </w:r>
      <w:r w:rsidRPr="009E2F10">
        <w:rPr>
          <w:rFonts w:ascii="PT Astra Serif" w:hAnsi="PT Astra Serif"/>
          <w:sz w:val="28"/>
          <w:szCs w:val="28"/>
        </w:rPr>
        <w:t>т о выполнении государственного задания</w:t>
      </w:r>
      <w:r w:rsidR="00852271">
        <w:rPr>
          <w:rFonts w:ascii="PT Astra Serif" w:hAnsi="PT Astra Serif"/>
          <w:sz w:val="28"/>
          <w:szCs w:val="28"/>
        </w:rPr>
        <w:t xml:space="preserve"> (формируется учреждени</w:t>
      </w:r>
      <w:r w:rsidR="0091507D">
        <w:rPr>
          <w:rFonts w:ascii="PT Astra Serif" w:hAnsi="PT Astra Serif"/>
          <w:sz w:val="28"/>
          <w:szCs w:val="28"/>
        </w:rPr>
        <w:t>ем, которому</w:t>
      </w:r>
      <w:r w:rsidR="00852271">
        <w:rPr>
          <w:rFonts w:ascii="PT Astra Serif" w:hAnsi="PT Astra Serif"/>
          <w:sz w:val="28"/>
          <w:szCs w:val="28"/>
        </w:rPr>
        <w:t xml:space="preserve"> сформировано государственное задание)</w:t>
      </w:r>
      <w:r w:rsidRPr="009E2F10">
        <w:rPr>
          <w:rFonts w:ascii="PT Astra Serif" w:hAnsi="PT Astra Serif"/>
          <w:sz w:val="28"/>
          <w:szCs w:val="28"/>
        </w:rPr>
        <w:t>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 поступлениях и выплатах учреждения;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об оказываемых услугах, выполняемых работах сверх установленного государственного задания, а также выпускаемой продукции;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 кредиторской задолженности и обязательствах учреждения;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 просроченной кредиторской задолженности;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lastRenderedPageBreak/>
        <w:t>сведения о задолженности по ущербу, недостачам, хищениям денежных средств и материальных ценностей;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 численности сотрудников и оплате труда;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 счетах учреждения, открытых в кредитных организациях.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1</w:t>
      </w:r>
      <w:r w:rsidR="0091507D">
        <w:rPr>
          <w:rFonts w:ascii="PT Astra Serif" w:hAnsi="PT Astra Serif"/>
          <w:sz w:val="28"/>
          <w:szCs w:val="28"/>
        </w:rPr>
        <w:t>3</w:t>
      </w:r>
      <w:r w:rsidRPr="009E2F10">
        <w:rPr>
          <w:rFonts w:ascii="PT Astra Serif" w:hAnsi="PT Astra Serif"/>
          <w:sz w:val="28"/>
          <w:szCs w:val="28"/>
        </w:rPr>
        <w:t xml:space="preserve">. В раздел 2 </w:t>
      </w:r>
      <w:r w:rsidR="007117D9">
        <w:rPr>
          <w:rFonts w:ascii="PT Astra Serif" w:hAnsi="PT Astra Serif"/>
          <w:sz w:val="28"/>
          <w:szCs w:val="28"/>
        </w:rPr>
        <w:t>«</w:t>
      </w:r>
      <w:r w:rsidRPr="009E2F10">
        <w:rPr>
          <w:rFonts w:ascii="PT Astra Serif" w:hAnsi="PT Astra Serif"/>
          <w:sz w:val="28"/>
          <w:szCs w:val="28"/>
        </w:rPr>
        <w:t>Использование имущества, закрепл</w:t>
      </w:r>
      <w:r w:rsidR="007117D9">
        <w:rPr>
          <w:rFonts w:ascii="PT Astra Serif" w:hAnsi="PT Astra Serif"/>
          <w:sz w:val="28"/>
          <w:szCs w:val="28"/>
        </w:rPr>
        <w:t>ё</w:t>
      </w:r>
      <w:r w:rsidRPr="009E2F10">
        <w:rPr>
          <w:rFonts w:ascii="PT Astra Serif" w:hAnsi="PT Astra Serif"/>
          <w:sz w:val="28"/>
          <w:szCs w:val="28"/>
        </w:rPr>
        <w:t>нного за учреждением</w:t>
      </w:r>
      <w:r w:rsidR="007117D9">
        <w:rPr>
          <w:rFonts w:ascii="PT Astra Serif" w:hAnsi="PT Astra Serif"/>
          <w:sz w:val="28"/>
          <w:szCs w:val="28"/>
        </w:rPr>
        <w:t>»</w:t>
      </w:r>
      <w:r w:rsidRPr="009E2F10">
        <w:rPr>
          <w:rFonts w:ascii="PT Astra Serif" w:hAnsi="PT Astra Serif"/>
          <w:sz w:val="28"/>
          <w:szCs w:val="28"/>
        </w:rPr>
        <w:t xml:space="preserve"> включаются: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 xml:space="preserve">сведения о недвижимом имуществе, за исключением земельных участков (далее </w:t>
      </w:r>
      <w:r w:rsidR="0091507D">
        <w:rPr>
          <w:rFonts w:ascii="PT Astra Serif" w:hAnsi="PT Astra Serif"/>
          <w:sz w:val="28"/>
          <w:szCs w:val="28"/>
        </w:rPr>
        <w:t>–</w:t>
      </w:r>
      <w:r w:rsidRPr="009E2F10">
        <w:rPr>
          <w:rFonts w:ascii="PT Astra Serif" w:hAnsi="PT Astra Serif"/>
          <w:sz w:val="28"/>
          <w:szCs w:val="28"/>
        </w:rPr>
        <w:t xml:space="preserve"> сведения о недвижимом имуществе), закрепл</w:t>
      </w:r>
      <w:r w:rsidR="007117D9">
        <w:rPr>
          <w:rFonts w:ascii="PT Astra Serif" w:hAnsi="PT Astra Serif"/>
          <w:sz w:val="28"/>
          <w:szCs w:val="28"/>
        </w:rPr>
        <w:t>ё</w:t>
      </w:r>
      <w:r w:rsidRPr="009E2F10">
        <w:rPr>
          <w:rFonts w:ascii="PT Astra Serif" w:hAnsi="PT Astra Serif"/>
          <w:sz w:val="28"/>
          <w:szCs w:val="28"/>
        </w:rPr>
        <w:t>нном на праве оперативного управления;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 земельных участках, предоставленных на праве постоянного (бессрочного) пользования;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 недвижимом имуществе, используемом по договору аренды;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 недвижимом имуществе, используемом по договору безвозмездного пользования (договору ссуды);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об особо ценном движимом имуществе (за исключением транспортных средств);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 транспортных средствах;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об имуществе, за исключением земельных участков, переданном в аренду.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1</w:t>
      </w:r>
      <w:r w:rsidR="0091507D">
        <w:rPr>
          <w:rFonts w:ascii="PT Astra Serif" w:hAnsi="PT Astra Serif"/>
          <w:sz w:val="28"/>
          <w:szCs w:val="28"/>
        </w:rPr>
        <w:t>4</w:t>
      </w:r>
      <w:r w:rsidRPr="009E2F10">
        <w:rPr>
          <w:rFonts w:ascii="PT Astra Serif" w:hAnsi="PT Astra Serif"/>
          <w:sz w:val="28"/>
          <w:szCs w:val="28"/>
        </w:rPr>
        <w:t xml:space="preserve">. В раздел 3 </w:t>
      </w:r>
      <w:r w:rsidR="007117D9">
        <w:rPr>
          <w:rFonts w:ascii="PT Astra Serif" w:hAnsi="PT Astra Serif"/>
          <w:sz w:val="28"/>
          <w:szCs w:val="28"/>
        </w:rPr>
        <w:t>«</w:t>
      </w:r>
      <w:r w:rsidRPr="009E2F10">
        <w:rPr>
          <w:rFonts w:ascii="PT Astra Serif" w:hAnsi="PT Astra Serif"/>
          <w:sz w:val="28"/>
          <w:szCs w:val="28"/>
        </w:rPr>
        <w:t>Эффективность деятельности</w:t>
      </w:r>
      <w:r w:rsidR="007117D9">
        <w:rPr>
          <w:rFonts w:ascii="PT Astra Serif" w:hAnsi="PT Astra Serif"/>
          <w:sz w:val="28"/>
          <w:szCs w:val="28"/>
        </w:rPr>
        <w:t>»</w:t>
      </w:r>
      <w:r w:rsidRPr="009E2F10">
        <w:rPr>
          <w:rFonts w:ascii="PT Astra Serif" w:hAnsi="PT Astra Serif"/>
          <w:sz w:val="28"/>
          <w:szCs w:val="28"/>
        </w:rPr>
        <w:t xml:space="preserve"> включаются: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 видах деятельности, в отношении которых установлен показатель эффективности;</w:t>
      </w:r>
    </w:p>
    <w:p w:rsidR="009E2F10" w:rsidRPr="009E2F10" w:rsidRDefault="009E2F10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E2F10">
        <w:rPr>
          <w:rFonts w:ascii="PT Astra Serif" w:hAnsi="PT Astra Serif"/>
          <w:sz w:val="28"/>
          <w:szCs w:val="28"/>
        </w:rPr>
        <w:t>сведения о достижении показателей эффективности деятельности учреждения.</w:t>
      </w:r>
    </w:p>
    <w:p w:rsidR="009E2F10" w:rsidRPr="009E2F10" w:rsidRDefault="007117D9" w:rsidP="00CA6AA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91507D">
        <w:rPr>
          <w:rFonts w:ascii="PT Astra Serif" w:hAnsi="PT Astra Serif"/>
          <w:sz w:val="28"/>
          <w:szCs w:val="28"/>
        </w:rPr>
        <w:t>5</w:t>
      </w:r>
      <w:r w:rsidR="009E2F10" w:rsidRPr="009E2F1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E2F10" w:rsidRPr="009E2F10">
        <w:rPr>
          <w:rFonts w:ascii="PT Astra Serif" w:hAnsi="PT Astra Serif"/>
          <w:sz w:val="28"/>
          <w:szCs w:val="28"/>
        </w:rPr>
        <w:t>Отч</w:t>
      </w:r>
      <w:r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 о выполнении государственного задания должен включать сведения о государственных услугах и работах, включ</w:t>
      </w:r>
      <w:r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нных в государственное задание (показатель, характеризующий содержание государственной услуги (работы), плановые показатели объ</w:t>
      </w:r>
      <w:r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ма государственной услуги (работы), показатели объ</w:t>
      </w:r>
      <w:r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ма оказанных государственных услуг (выполненных работ) на отч</w:t>
      </w:r>
      <w:r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тную дату, причину отклонения от установленных плановых показателей объ</w:t>
      </w:r>
      <w:r>
        <w:rPr>
          <w:rFonts w:ascii="PT Astra Serif" w:hAnsi="PT Astra Serif"/>
          <w:sz w:val="28"/>
          <w:szCs w:val="28"/>
        </w:rPr>
        <w:t>ё</w:t>
      </w:r>
      <w:r w:rsidR="009E2F10" w:rsidRPr="009E2F10">
        <w:rPr>
          <w:rFonts w:ascii="PT Astra Serif" w:hAnsi="PT Astra Serif"/>
          <w:sz w:val="28"/>
          <w:szCs w:val="28"/>
        </w:rPr>
        <w:t>ма государственной услуги (работы).</w:t>
      </w:r>
      <w:proofErr w:type="gramEnd"/>
    </w:p>
    <w:p w:rsidR="009E2F10" w:rsidRPr="009E2F10" w:rsidRDefault="009E2F10" w:rsidP="009E2F1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11CAA" w:rsidRPr="009E2F10" w:rsidRDefault="0091507D" w:rsidP="0091507D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</w:t>
      </w:r>
    </w:p>
    <w:sectPr w:rsidR="00A11CAA" w:rsidRPr="009E2F10" w:rsidSect="00110A22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4D3" w:rsidRDefault="007E34D3" w:rsidP="00110A22">
      <w:r>
        <w:separator/>
      </w:r>
    </w:p>
  </w:endnote>
  <w:endnote w:type="continuationSeparator" w:id="0">
    <w:p w:rsidR="007E34D3" w:rsidRDefault="007E34D3" w:rsidP="0011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4D3" w:rsidRDefault="007E34D3" w:rsidP="00110A22">
      <w:r>
        <w:separator/>
      </w:r>
    </w:p>
  </w:footnote>
  <w:footnote w:type="continuationSeparator" w:id="0">
    <w:p w:rsidR="007E34D3" w:rsidRDefault="007E34D3" w:rsidP="00110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74595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10A22" w:rsidRPr="00110A22" w:rsidRDefault="00110A22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110A22">
          <w:rPr>
            <w:rFonts w:ascii="PT Astra Serif" w:hAnsi="PT Astra Serif"/>
            <w:sz w:val="28"/>
            <w:szCs w:val="28"/>
          </w:rPr>
          <w:fldChar w:fldCharType="begin"/>
        </w:r>
        <w:r w:rsidRPr="00110A22">
          <w:rPr>
            <w:rFonts w:ascii="PT Astra Serif" w:hAnsi="PT Astra Serif"/>
            <w:sz w:val="28"/>
            <w:szCs w:val="28"/>
          </w:rPr>
          <w:instrText>PAGE   \* MERGEFORMAT</w:instrText>
        </w:r>
        <w:r w:rsidRPr="00110A22">
          <w:rPr>
            <w:rFonts w:ascii="PT Astra Serif" w:hAnsi="PT Astra Serif"/>
            <w:sz w:val="28"/>
            <w:szCs w:val="28"/>
          </w:rPr>
          <w:fldChar w:fldCharType="separate"/>
        </w:r>
        <w:r w:rsidR="00387334">
          <w:rPr>
            <w:rFonts w:ascii="PT Astra Serif" w:hAnsi="PT Astra Serif"/>
            <w:noProof/>
            <w:sz w:val="28"/>
            <w:szCs w:val="28"/>
          </w:rPr>
          <w:t>2</w:t>
        </w:r>
        <w:r w:rsidRPr="00110A2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10A22" w:rsidRDefault="00110A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10"/>
    <w:rsid w:val="00032CFB"/>
    <w:rsid w:val="00110A22"/>
    <w:rsid w:val="00174FD2"/>
    <w:rsid w:val="00387334"/>
    <w:rsid w:val="007117D9"/>
    <w:rsid w:val="007E34D3"/>
    <w:rsid w:val="007F0CE5"/>
    <w:rsid w:val="00852271"/>
    <w:rsid w:val="0091507D"/>
    <w:rsid w:val="0098751A"/>
    <w:rsid w:val="009C53BC"/>
    <w:rsid w:val="009E2F10"/>
    <w:rsid w:val="00A11CAA"/>
    <w:rsid w:val="00A933F6"/>
    <w:rsid w:val="00CA6AAF"/>
    <w:rsid w:val="00D74926"/>
    <w:rsid w:val="00DE388B"/>
    <w:rsid w:val="00E2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F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2F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2F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5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0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10A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0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0A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0A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F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2F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2F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5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0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10A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0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10A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0A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5374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9048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Седова Ольга Вячеславна</dc:creator>
  <cp:lastModifiedBy>Катрачева Светлана Игоревна</cp:lastModifiedBy>
  <cp:revision>7</cp:revision>
  <cp:lastPrinted>2025-09-12T09:18:00Z</cp:lastPrinted>
  <dcterms:created xsi:type="dcterms:W3CDTF">2025-09-10T10:34:00Z</dcterms:created>
  <dcterms:modified xsi:type="dcterms:W3CDTF">2025-09-12T09:18:00Z</dcterms:modified>
</cp:coreProperties>
</file>