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rFonts w:ascii="PT Astra Serif" w:hAnsi="PT Astra Serif"/>
          <w:b/>
        </w:rPr>
        <w:t>АГЕНТСТВО ПО РЕГУЛИРОВАНИЮ ЦЕН И ТАРИФОВ</w:t>
      </w:r>
    </w:p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УЛЬЯНОВСКОЙ ОБЛАСТИ</w:t>
      </w:r>
    </w:p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b/>
        </w:rPr>
      </w:pPr>
    </w:p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 Р И К А З</w:t>
      </w:r>
    </w:p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</w:p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  <w:r w:rsidR="00B873D8">
        <w:rPr>
          <w:rFonts w:ascii="PT Astra Serif" w:hAnsi="PT Astra Serif"/>
        </w:rPr>
        <w:t>25.06.2024</w:t>
      </w:r>
      <w:r>
        <w:rPr>
          <w:rFonts w:ascii="PT Astra Serif" w:hAnsi="PT Astra Serif"/>
        </w:rPr>
        <w:t xml:space="preserve">                                                   </w:t>
      </w:r>
      <w:r w:rsidR="00863C62">
        <w:rPr>
          <w:rFonts w:ascii="PT Astra Serif" w:hAnsi="PT Astra Serif"/>
        </w:rPr>
        <w:t xml:space="preserve">                        </w:t>
      </w:r>
      <w:r w:rsidR="00952CDA">
        <w:rPr>
          <w:rFonts w:ascii="PT Astra Serif" w:hAnsi="PT Astra Serif"/>
        </w:rPr>
        <w:t xml:space="preserve">                   </w:t>
      </w:r>
      <w:r w:rsidR="00863C62">
        <w:rPr>
          <w:rFonts w:ascii="PT Astra Serif" w:hAnsi="PT Astra Serif"/>
        </w:rPr>
        <w:t xml:space="preserve">   № </w:t>
      </w:r>
      <w:r>
        <w:rPr>
          <w:rFonts w:ascii="PT Astra Serif" w:hAnsi="PT Astra Serif"/>
        </w:rPr>
        <w:t>-П</w:t>
      </w:r>
    </w:p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</w:p>
    <w:p w:rsidR="005E4C3E" w:rsidRDefault="005E4C3E" w:rsidP="005E4C3E">
      <w:pPr>
        <w:autoSpaceDE w:val="0"/>
        <w:autoSpaceDN w:val="0"/>
        <w:adjustRightInd w:val="0"/>
        <w:spacing w:line="216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Ульяновск</w:t>
      </w:r>
    </w:p>
    <w:p w:rsidR="005E4C3E" w:rsidRPr="00C5718E" w:rsidRDefault="005E4C3E" w:rsidP="005E4C3E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142FB7" w:rsidRPr="00C5718E" w:rsidRDefault="00A63405" w:rsidP="00093540">
      <w:pPr>
        <w:pStyle w:val="1"/>
        <w:spacing w:line="235" w:lineRule="auto"/>
        <w:rPr>
          <w:rFonts w:ascii="PT Astra Serif" w:hAnsi="PT Astra Serif"/>
          <w:b/>
          <w:sz w:val="28"/>
          <w:szCs w:val="28"/>
        </w:rPr>
      </w:pPr>
      <w:r w:rsidRPr="00A63405">
        <w:rPr>
          <w:rFonts w:ascii="PT Astra Serif" w:hAnsi="PT Astra Serif"/>
          <w:b/>
          <w:sz w:val="28"/>
          <w:szCs w:val="28"/>
        </w:rPr>
        <w:t xml:space="preserve">О внесении изменений в приказ Агентства по регулированию цен </w:t>
      </w:r>
      <w:r>
        <w:rPr>
          <w:rFonts w:ascii="PT Astra Serif" w:hAnsi="PT Astra Serif"/>
          <w:b/>
          <w:sz w:val="28"/>
          <w:szCs w:val="28"/>
        </w:rPr>
        <w:br/>
      </w:r>
      <w:r w:rsidRPr="00A63405">
        <w:rPr>
          <w:rFonts w:ascii="PT Astra Serif" w:hAnsi="PT Astra Serif"/>
          <w:b/>
          <w:sz w:val="28"/>
          <w:szCs w:val="28"/>
        </w:rPr>
        <w:t>и тарифов Ульяновской области от 02.08.2022 № 59-П</w:t>
      </w:r>
    </w:p>
    <w:p w:rsidR="00142FB7" w:rsidRPr="00C5718E" w:rsidRDefault="00142FB7" w:rsidP="00093540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4"/>
          <w:szCs w:val="28"/>
        </w:rPr>
      </w:pPr>
    </w:p>
    <w:p w:rsidR="00A63405" w:rsidRPr="00312A9B" w:rsidRDefault="00863C62" w:rsidP="00093540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B70A8B" w:rsidRPr="00B70A8B">
        <w:rPr>
          <w:rFonts w:ascii="PT Astra Serif" w:hAnsi="PT Astra Serif"/>
        </w:rPr>
        <w:t xml:space="preserve"> целях осуществления корректировки долгосрочных тарифов,</w:t>
      </w:r>
      <w:r>
        <w:rPr>
          <w:rFonts w:ascii="PT Astra Serif" w:hAnsi="PT Astra Serif"/>
        </w:rPr>
        <w:t xml:space="preserve">                                  </w:t>
      </w:r>
      <w:r w:rsidR="00B70A8B" w:rsidRPr="00B70A8B">
        <w:rPr>
          <w:rFonts w:ascii="PT Astra Serif" w:hAnsi="PT Astra Serif"/>
        </w:rPr>
        <w:t xml:space="preserve"> </w:t>
      </w:r>
      <w:r w:rsidR="00B70A8B">
        <w:rPr>
          <w:rFonts w:ascii="PT Astra Serif" w:hAnsi="PT Astra Serif"/>
        </w:rPr>
        <w:t>п</w:t>
      </w:r>
      <w:r w:rsidR="00A63405" w:rsidRPr="00312A9B">
        <w:rPr>
          <w:rFonts w:ascii="PT Astra Serif" w:hAnsi="PT Astra Serif"/>
        </w:rPr>
        <w:t xml:space="preserve"> р и к а з ы в а ю:</w:t>
      </w:r>
    </w:p>
    <w:p w:rsidR="00A63405" w:rsidRDefault="00A63405" w:rsidP="00093540">
      <w:pPr>
        <w:tabs>
          <w:tab w:val="left" w:pos="3544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312A9B">
        <w:rPr>
          <w:rFonts w:ascii="PT Astra Serif" w:hAnsi="PT Astra Serif"/>
        </w:rPr>
        <w:t xml:space="preserve">1. Внести в приказ </w:t>
      </w:r>
      <w:r w:rsidRPr="00A63405">
        <w:rPr>
          <w:rFonts w:ascii="PT Astra Serif" w:hAnsi="PT Astra Serif"/>
        </w:rPr>
        <w:t xml:space="preserve">Агентства по регулированию цен и тарифов Ульяновской области от 02.08.2022 № 59-П </w:t>
      </w:r>
      <w:r w:rsidRPr="00312A9B">
        <w:rPr>
          <w:rFonts w:ascii="PT Astra Serif" w:hAnsi="PT Astra Serif"/>
        </w:rPr>
        <w:t xml:space="preserve">«Об установлении тарифов </w:t>
      </w:r>
      <w:r w:rsidR="00115BAC">
        <w:rPr>
          <w:rFonts w:ascii="PT Astra Serif" w:hAnsi="PT Astra Serif"/>
        </w:rPr>
        <w:br/>
      </w:r>
      <w:r w:rsidRPr="00312A9B">
        <w:rPr>
          <w:rFonts w:ascii="PT Astra Serif" w:hAnsi="PT Astra Serif"/>
        </w:rPr>
        <w:t>на тепловую энергию, поставляемую потребителям ОБЛАСТНЫМ ГОСУДАРСТВЕННЫМ КАЗЁННЫМ ПРЕДПРИЯТИЕМ «КОРПОРАЦИЯ РАЗВИТИЯ КОММУНАЛЬНОГО КОМПЛЕКСА УЛЬЯНОВСКОЙ ОБЛАСТИ», на 20</w:t>
      </w:r>
      <w:r>
        <w:rPr>
          <w:rFonts w:ascii="PT Astra Serif" w:hAnsi="PT Astra Serif"/>
        </w:rPr>
        <w:t>22</w:t>
      </w:r>
      <w:r w:rsidRPr="00312A9B">
        <w:rPr>
          <w:rFonts w:ascii="PT Astra Serif" w:hAnsi="PT Astra Serif"/>
        </w:rPr>
        <w:t>-202</w:t>
      </w:r>
      <w:r>
        <w:rPr>
          <w:rFonts w:ascii="PT Astra Serif" w:hAnsi="PT Astra Serif"/>
        </w:rPr>
        <w:t>6</w:t>
      </w:r>
      <w:r w:rsidRPr="00312A9B">
        <w:rPr>
          <w:rFonts w:ascii="PT Astra Serif" w:hAnsi="PT Astra Serif"/>
        </w:rPr>
        <w:t xml:space="preserve"> годы» следующие изменения: </w:t>
      </w:r>
    </w:p>
    <w:p w:rsidR="00A63405" w:rsidRPr="00312A9B" w:rsidRDefault="00A63405" w:rsidP="00093540">
      <w:pPr>
        <w:tabs>
          <w:tab w:val="left" w:pos="3544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A63405">
        <w:rPr>
          <w:rFonts w:ascii="PT Astra Serif" w:hAnsi="PT Astra Serif"/>
        </w:rPr>
        <w:t>1</w:t>
      </w:r>
      <w:r>
        <w:rPr>
          <w:rFonts w:ascii="PT Astra Serif" w:hAnsi="PT Astra Serif"/>
        </w:rPr>
        <w:t>) п</w:t>
      </w:r>
      <w:r w:rsidRPr="00A63405">
        <w:rPr>
          <w:rFonts w:ascii="PT Astra Serif" w:hAnsi="PT Astra Serif"/>
        </w:rPr>
        <w:t>риложени</w:t>
      </w:r>
      <w:r>
        <w:rPr>
          <w:rFonts w:ascii="PT Astra Serif" w:hAnsi="PT Astra Serif"/>
        </w:rPr>
        <w:t>е</w:t>
      </w:r>
      <w:r w:rsidRPr="00A63405">
        <w:rPr>
          <w:rFonts w:ascii="PT Astra Serif" w:hAnsi="PT Astra Serif"/>
        </w:rPr>
        <w:t xml:space="preserve"> № 2 изложить в следующей редакции:</w:t>
      </w:r>
    </w:p>
    <w:p w:rsidR="00093540" w:rsidRDefault="00093540" w:rsidP="00093540">
      <w:pPr>
        <w:spacing w:line="235" w:lineRule="auto"/>
        <w:ind w:left="4536"/>
        <w:jc w:val="center"/>
        <w:rPr>
          <w:rFonts w:ascii="PT Astra Serif" w:hAnsi="PT Astra Serif"/>
        </w:rPr>
      </w:pPr>
    </w:p>
    <w:p w:rsidR="00D87239" w:rsidRPr="00C5718E" w:rsidRDefault="00A63405" w:rsidP="00093540">
      <w:pPr>
        <w:spacing w:line="235" w:lineRule="auto"/>
        <w:ind w:left="453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7B0F77" w:rsidRPr="00C5718E">
        <w:rPr>
          <w:rFonts w:ascii="PT Astra Serif" w:hAnsi="PT Astra Serif"/>
        </w:rPr>
        <w:t>ПР</w:t>
      </w:r>
      <w:r w:rsidR="00A47555" w:rsidRPr="00C5718E">
        <w:rPr>
          <w:rFonts w:ascii="PT Astra Serif" w:hAnsi="PT Astra Serif"/>
        </w:rPr>
        <w:t>ИЛОЖЕНИЕ</w:t>
      </w:r>
      <w:r w:rsidR="00CD6F61">
        <w:rPr>
          <w:rFonts w:ascii="PT Astra Serif" w:hAnsi="PT Astra Serif"/>
        </w:rPr>
        <w:t xml:space="preserve"> №</w:t>
      </w:r>
      <w:r w:rsidR="00D879A6" w:rsidRPr="00C5718E">
        <w:rPr>
          <w:rFonts w:ascii="PT Astra Serif" w:hAnsi="PT Astra Serif"/>
        </w:rPr>
        <w:t>2</w:t>
      </w:r>
    </w:p>
    <w:p w:rsidR="003D6DBA" w:rsidRDefault="003D6DBA" w:rsidP="00093540">
      <w:pPr>
        <w:spacing w:line="235" w:lineRule="auto"/>
        <w:ind w:left="4536" w:firstLine="1"/>
        <w:jc w:val="center"/>
        <w:rPr>
          <w:rFonts w:ascii="PT Astra Serif" w:hAnsi="PT Astra Serif"/>
        </w:rPr>
      </w:pPr>
      <w:r w:rsidRPr="00C5718E">
        <w:rPr>
          <w:rFonts w:ascii="PT Astra Serif" w:hAnsi="PT Astra Serif"/>
        </w:rPr>
        <w:t xml:space="preserve">к приказу </w:t>
      </w:r>
      <w:r>
        <w:rPr>
          <w:rFonts w:ascii="PT Astra Serif" w:hAnsi="PT Astra Serif"/>
        </w:rPr>
        <w:t xml:space="preserve">Агентства </w:t>
      </w:r>
    </w:p>
    <w:p w:rsidR="003D6DBA" w:rsidRPr="00C5718E" w:rsidRDefault="003D6DBA" w:rsidP="00093540">
      <w:pPr>
        <w:spacing w:line="235" w:lineRule="auto"/>
        <w:ind w:left="4536" w:firstLine="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 регулированию цен и тарифов</w:t>
      </w:r>
      <w:r w:rsidRPr="00C5718E">
        <w:rPr>
          <w:rFonts w:ascii="PT Astra Serif" w:hAnsi="PT Astra Serif"/>
        </w:rPr>
        <w:t xml:space="preserve"> Ульяновской области</w:t>
      </w:r>
    </w:p>
    <w:p w:rsidR="003D6DBA" w:rsidRPr="00C5718E" w:rsidRDefault="003D6DBA" w:rsidP="00093540">
      <w:pPr>
        <w:spacing w:line="235" w:lineRule="auto"/>
        <w:ind w:left="4536"/>
        <w:jc w:val="center"/>
        <w:rPr>
          <w:rFonts w:ascii="PT Astra Serif" w:hAnsi="PT Astra Serif"/>
        </w:rPr>
      </w:pPr>
      <w:r w:rsidRPr="00C5718E">
        <w:rPr>
          <w:rFonts w:ascii="PT Astra Serif" w:hAnsi="PT Astra Serif"/>
        </w:rPr>
        <w:t xml:space="preserve">от </w:t>
      </w:r>
      <w:r w:rsidR="00115BAC">
        <w:rPr>
          <w:rFonts w:ascii="PT Astra Serif" w:hAnsi="PT Astra Serif"/>
        </w:rPr>
        <w:t>2</w:t>
      </w:r>
      <w:r w:rsidRPr="00C5718E">
        <w:rPr>
          <w:rFonts w:ascii="PT Astra Serif" w:hAnsi="PT Astra Serif"/>
        </w:rPr>
        <w:t xml:space="preserve"> </w:t>
      </w:r>
      <w:r w:rsidR="00701C13">
        <w:rPr>
          <w:rFonts w:ascii="PT Astra Serif" w:hAnsi="PT Astra Serif"/>
        </w:rPr>
        <w:t>августа</w:t>
      </w:r>
      <w:r w:rsidRPr="00C5718E">
        <w:rPr>
          <w:rFonts w:ascii="PT Astra Serif" w:hAnsi="PT Astra Serif"/>
        </w:rPr>
        <w:t xml:space="preserve"> 20</w:t>
      </w:r>
      <w:r>
        <w:rPr>
          <w:rFonts w:ascii="PT Astra Serif" w:hAnsi="PT Astra Serif"/>
        </w:rPr>
        <w:t>2</w:t>
      </w:r>
      <w:r w:rsidR="00701C13">
        <w:rPr>
          <w:rFonts w:ascii="PT Astra Serif" w:hAnsi="PT Astra Serif"/>
        </w:rPr>
        <w:t>2</w:t>
      </w:r>
      <w:r w:rsidRPr="00C5718E">
        <w:rPr>
          <w:rFonts w:ascii="PT Astra Serif" w:hAnsi="PT Astra Serif"/>
        </w:rPr>
        <w:t xml:space="preserve"> г. № </w:t>
      </w:r>
      <w:r w:rsidR="00115BAC">
        <w:rPr>
          <w:rFonts w:ascii="PT Astra Serif" w:hAnsi="PT Astra Serif"/>
        </w:rPr>
        <w:t>59-П</w:t>
      </w:r>
    </w:p>
    <w:p w:rsidR="00D87239" w:rsidRPr="00C5718E" w:rsidRDefault="00D87239" w:rsidP="00093540">
      <w:pPr>
        <w:spacing w:line="235" w:lineRule="auto"/>
        <w:rPr>
          <w:rFonts w:ascii="PT Astra Serif" w:hAnsi="PT Astra Serif"/>
        </w:rPr>
      </w:pPr>
    </w:p>
    <w:p w:rsidR="005D760D" w:rsidRDefault="00A63405" w:rsidP="00093540">
      <w:pPr>
        <w:pStyle w:val="1"/>
        <w:spacing w:line="235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Экономически обоснованные т</w:t>
      </w:r>
      <w:r w:rsidR="00D87239" w:rsidRPr="00C5718E">
        <w:rPr>
          <w:rFonts w:ascii="PT Astra Serif" w:hAnsi="PT Astra Serif"/>
          <w:b/>
          <w:sz w:val="28"/>
          <w:szCs w:val="28"/>
        </w:rPr>
        <w:t>арифы на тепловую энергию,</w:t>
      </w:r>
      <w:r w:rsidR="00305A83" w:rsidRPr="00C5718E">
        <w:rPr>
          <w:rFonts w:ascii="PT Astra Serif" w:hAnsi="PT Astra Serif"/>
          <w:b/>
          <w:sz w:val="28"/>
          <w:szCs w:val="28"/>
        </w:rPr>
        <w:t xml:space="preserve"> </w:t>
      </w:r>
      <w:r w:rsidR="00D87239" w:rsidRPr="00C5718E">
        <w:rPr>
          <w:rFonts w:ascii="PT Astra Serif" w:hAnsi="PT Astra Serif"/>
          <w:b/>
          <w:sz w:val="28"/>
          <w:szCs w:val="28"/>
        </w:rPr>
        <w:t xml:space="preserve"> поставляемую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56165B" w:rsidRPr="00C5718E">
        <w:rPr>
          <w:rFonts w:ascii="PT Astra Serif" w:hAnsi="PT Astra Serif"/>
          <w:b/>
          <w:sz w:val="28"/>
          <w:szCs w:val="28"/>
        </w:rPr>
        <w:t>п</w:t>
      </w:r>
      <w:r w:rsidR="00D87239" w:rsidRPr="00C5718E">
        <w:rPr>
          <w:rFonts w:ascii="PT Astra Serif" w:hAnsi="PT Astra Serif"/>
          <w:b/>
          <w:sz w:val="28"/>
          <w:szCs w:val="28"/>
        </w:rPr>
        <w:t>отребителям</w:t>
      </w:r>
      <w:r w:rsidR="00687DB4" w:rsidRPr="00C5718E">
        <w:rPr>
          <w:rFonts w:ascii="PT Astra Serif" w:hAnsi="PT Astra Serif"/>
          <w:b/>
          <w:sz w:val="28"/>
          <w:szCs w:val="28"/>
        </w:rPr>
        <w:t xml:space="preserve"> ОБЛАСТНЫМ ГОСУДАРСТВЕННЫМ КАЗЁННЫМ ПРЕДПРИЯТИЕМ «</w:t>
      </w:r>
      <w:r w:rsidR="000013CB" w:rsidRPr="00C5718E">
        <w:rPr>
          <w:rFonts w:ascii="PT Astra Serif" w:hAnsi="PT Astra Serif"/>
          <w:b/>
          <w:sz w:val="28"/>
          <w:szCs w:val="28"/>
        </w:rPr>
        <w:t>КОРПОРАЦИЯ РАЗВИТИЯ КОММУНАЛЬНОГО КОМПЛЕКСА УЛЬЯНОВСКОЙ ОБЛАСТИ</w:t>
      </w:r>
      <w:r w:rsidR="00687DB4" w:rsidRPr="00C5718E">
        <w:rPr>
          <w:rFonts w:ascii="PT Astra Serif" w:hAnsi="PT Astra Serif"/>
          <w:b/>
          <w:sz w:val="28"/>
          <w:szCs w:val="28"/>
        </w:rPr>
        <w:t>»</w:t>
      </w:r>
    </w:p>
    <w:p w:rsidR="00115BAC" w:rsidRPr="00115BAC" w:rsidRDefault="00115BAC" w:rsidP="00093540">
      <w:pPr>
        <w:spacing w:line="235" w:lineRule="auto"/>
      </w:pPr>
    </w:p>
    <w:tbl>
      <w:tblPr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01"/>
        <w:gridCol w:w="2693"/>
        <w:gridCol w:w="1276"/>
        <w:gridCol w:w="3402"/>
        <w:gridCol w:w="1167"/>
        <w:gridCol w:w="709"/>
        <w:gridCol w:w="426"/>
      </w:tblGrid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B873D8">
            <w:pPr>
              <w:spacing w:line="235" w:lineRule="auto"/>
              <w:ind w:right="-108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 xml:space="preserve">№ </w:t>
            </w:r>
          </w:p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п/п</w:t>
            </w:r>
          </w:p>
        </w:tc>
        <w:tc>
          <w:tcPr>
            <w:tcW w:w="2693" w:type="dxa"/>
          </w:tcPr>
          <w:p w:rsidR="00B873D8" w:rsidRPr="007E23D4" w:rsidRDefault="00B873D8" w:rsidP="00093540">
            <w:pPr>
              <w:spacing w:line="235" w:lineRule="auto"/>
              <w:ind w:left="33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Наименование организации</w:t>
            </w:r>
          </w:p>
        </w:tc>
        <w:tc>
          <w:tcPr>
            <w:tcW w:w="1276" w:type="dxa"/>
          </w:tcPr>
          <w:p w:rsidR="00B873D8" w:rsidRPr="007E23D4" w:rsidRDefault="00B873D8" w:rsidP="00093540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Вид тарифа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Год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Вода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</w:p>
        </w:tc>
        <w:tc>
          <w:tcPr>
            <w:tcW w:w="2693" w:type="dxa"/>
          </w:tcPr>
          <w:p w:rsidR="00B873D8" w:rsidRPr="007E23D4" w:rsidRDefault="00B873D8" w:rsidP="00093540">
            <w:pPr>
              <w:spacing w:line="235" w:lineRule="auto"/>
              <w:ind w:left="33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ОБЛАСТНОЕ ГОСУДАРСТВЕН</w:t>
            </w:r>
            <w:r>
              <w:rPr>
                <w:rFonts w:ascii="PT Astra Serif" w:hAnsi="PT Astra Serif"/>
              </w:rPr>
              <w:t>-</w:t>
            </w:r>
            <w:r w:rsidRPr="007E23D4">
              <w:rPr>
                <w:rFonts w:ascii="PT Astra Serif" w:hAnsi="PT Astra Serif"/>
              </w:rPr>
              <w:t>НОЕ КАЗЁННОЕ ПРЕДПРИЯТИЕ «КОРПОРАЦИЯ РАЗВИТИЯ КОММУНАЛЬНО</w:t>
            </w:r>
            <w:r>
              <w:rPr>
                <w:rFonts w:ascii="PT Astra Serif" w:hAnsi="PT Astra Serif"/>
              </w:rPr>
              <w:t>-</w:t>
            </w:r>
            <w:r w:rsidRPr="007E23D4">
              <w:rPr>
                <w:rFonts w:ascii="PT Astra Serif" w:hAnsi="PT Astra Serif"/>
              </w:rPr>
              <w:t>ГО КОМПЛЕКСА УЛЬЯНОВСКОЙ ОБЛАСТИ»</w:t>
            </w: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Для потребителей, в случае отсутствия дифференциации тарифов по схеме подключения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 xml:space="preserve">На территории муниципального образования «Город Димитровград» </w:t>
            </w:r>
            <w:r w:rsidRPr="007E23D4">
              <w:rPr>
                <w:rFonts w:ascii="PT Astra Serif" w:hAnsi="PT Astra Serif"/>
              </w:rPr>
              <w:lastRenderedPageBreak/>
              <w:t>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ind w:left="34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4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 w:rsidRPr="001C597A">
              <w:rPr>
                <w:rFonts w:ascii="PT Astra Serif" w:hAnsi="PT Astra Serif"/>
              </w:rPr>
              <w:t>1693,97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1C597A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1785,44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1946,13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1946,13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2133,41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2126,84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2226,46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2226,46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</w:tcPr>
          <w:p w:rsidR="00B873D8" w:rsidRPr="007E23D4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2253,41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1.1.2.</w:t>
            </w:r>
          </w:p>
        </w:tc>
        <w:tc>
          <w:tcPr>
            <w:tcW w:w="2693" w:type="dxa"/>
            <w:vMerge w:val="restart"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860EA4" w:rsidRDefault="00B873D8" w:rsidP="00093540">
            <w:pPr>
              <w:spacing w:line="235" w:lineRule="auto"/>
              <w:ind w:right="-107"/>
              <w:jc w:val="both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Население (с учетом НДС)</w:t>
            </w:r>
            <w:r w:rsidRPr="00860EA4">
              <w:t xml:space="preserve"> </w:t>
            </w:r>
            <w:r w:rsidRPr="00860EA4">
              <w:rPr>
                <w:rFonts w:ascii="PT Astra Serif" w:hAnsi="PT Astra Serif"/>
              </w:rPr>
              <w:t>&lt;**&gt;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860EA4" w:rsidRDefault="00B873D8" w:rsidP="00093540">
            <w:pPr>
              <w:spacing w:line="235" w:lineRule="auto"/>
              <w:ind w:right="-107"/>
              <w:jc w:val="both"/>
              <w:rPr>
                <w:rFonts w:ascii="PT Astra Serif" w:hAnsi="PT Astra Serif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860EA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860EA4">
              <w:rPr>
                <w:rFonts w:ascii="PT Astra Serif" w:hAnsi="PT Astra Serif"/>
                <w:color w:val="000000"/>
              </w:rPr>
              <w:t>2032,76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с 01.07.2022 по 30.11.2022</w:t>
            </w:r>
          </w:p>
        </w:tc>
        <w:tc>
          <w:tcPr>
            <w:tcW w:w="1167" w:type="dxa"/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860EA4">
              <w:rPr>
                <w:rFonts w:ascii="PT Astra Serif" w:hAnsi="PT Astra Serif"/>
                <w:color w:val="000000"/>
              </w:rPr>
              <w:t>2142,53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с 01.12.2022 по 31.12.2023</w:t>
            </w:r>
          </w:p>
        </w:tc>
        <w:tc>
          <w:tcPr>
            <w:tcW w:w="1167" w:type="dxa"/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860EA4">
              <w:rPr>
                <w:rFonts w:ascii="PT Astra Serif" w:hAnsi="PT Astra Serif"/>
                <w:color w:val="000000"/>
              </w:rPr>
              <w:t>2335,36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860EA4">
              <w:rPr>
                <w:rFonts w:ascii="PT Astra Serif" w:hAnsi="PT Astra Serif"/>
                <w:color w:val="000000"/>
              </w:rPr>
              <w:t>2335,36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2560,09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2552,21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2671,75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2671,75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860EA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860EA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860EA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860EA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860EA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</w:tcPr>
          <w:p w:rsidR="00B873D8" w:rsidRPr="00860EA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2704,09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 xml:space="preserve">На территории муниципального образования «Базарносызганское городское поселение» </w:t>
            </w:r>
            <w:r w:rsidRPr="00832E63">
              <w:rPr>
                <w:rFonts w:ascii="PT Astra Serif" w:hAnsi="PT Astra Serif"/>
              </w:rPr>
              <w:t>Базарносызганского района</w:t>
            </w:r>
            <w:r w:rsidRPr="007E23D4">
              <w:rPr>
                <w:rFonts w:ascii="PT Astra Serif" w:hAnsi="PT Astra Serif"/>
              </w:rPr>
              <w:t xml:space="preserve">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D583D">
              <w:rPr>
                <w:rFonts w:ascii="PT Astra Serif" w:hAnsi="PT Astra Serif"/>
              </w:rPr>
              <w:t>1693,56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D583D">
              <w:rPr>
                <w:rFonts w:ascii="PT Astra Serif" w:hAnsi="PT Astra Serif"/>
              </w:rPr>
              <w:t>1785,01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bottom"/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1945,66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bottom"/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1945,66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bottom"/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2132,44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bottom"/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2132,44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bottom"/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2191,58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bottom"/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2191,58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bottom"/>
          </w:tcPr>
          <w:p w:rsidR="00B873D8" w:rsidRPr="007D583D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2257,27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1.2.2.</w:t>
            </w:r>
          </w:p>
        </w:tc>
        <w:tc>
          <w:tcPr>
            <w:tcW w:w="2693" w:type="dxa"/>
            <w:vMerge w:val="restart"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093540" w:rsidRDefault="00B873D8" w:rsidP="00093540">
            <w:pPr>
              <w:spacing w:line="235" w:lineRule="auto"/>
              <w:ind w:right="-108"/>
              <w:jc w:val="both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Население (с учетом НДС)</w:t>
            </w:r>
            <w:r w:rsidRPr="00093540">
              <w:t xml:space="preserve"> </w:t>
            </w:r>
            <w:r w:rsidRPr="00093540">
              <w:rPr>
                <w:rFonts w:ascii="PT Astra Serif" w:hAnsi="PT Astra Serif"/>
              </w:rPr>
              <w:t>&lt;**&gt;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ind w:right="-108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2032,27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01.07.2022 по 30.11.2022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2142,01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01.12.2022 по 31.12.2023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3540">
              <w:rPr>
                <w:rFonts w:ascii="PT Astra Serif" w:hAnsi="PT Astra Serif"/>
                <w:color w:val="000000"/>
              </w:rPr>
              <w:t>2334,79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93540">
              <w:rPr>
                <w:rFonts w:ascii="PT Astra Serif" w:hAnsi="PT Astra Serif"/>
                <w:color w:val="000000"/>
              </w:rPr>
              <w:t>2334,79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2558,93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2558,93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2629,90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2629,90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2708,72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1.3.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«Большенагаткинское сельское поселение» Цильнинского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1.3.1.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1685,17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1776,18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1.4.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«Вешкаймское городское поселение» Вешкаймского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1.4.1.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1704,30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1796,33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1.5.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«Зеленорощинское сельское поселение» Ульяновского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1.5.1.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1665,62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1755,55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6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«Игнатовское городское поселение» Майнского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6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 xml:space="preserve">Потребители, кроме населения (тарифы </w:t>
            </w:r>
            <w:r w:rsidRPr="007E23D4">
              <w:rPr>
                <w:rFonts w:ascii="PT Astra Serif" w:hAnsi="PT Astra Serif"/>
              </w:rPr>
              <w:lastRenderedPageBreak/>
              <w:t>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1464,21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1543,25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7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</w:t>
            </w:r>
            <w:r>
              <w:rPr>
                <w:rFonts w:ascii="PT Astra Serif" w:hAnsi="PT Astra Serif"/>
              </w:rPr>
              <w:t>Инзенское городское поселение» Инзе</w:t>
            </w:r>
            <w:r w:rsidRPr="007E23D4">
              <w:rPr>
                <w:rFonts w:ascii="PT Astra Serif" w:hAnsi="PT Astra Serif"/>
              </w:rPr>
              <w:t>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7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1801,25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1898,52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1973,10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1973,10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2097,40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2089,58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2134,43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2134,43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2121,85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1.8.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«Ишеевское городское поселение» Ульяновского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1.8.1.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1577,41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1662,61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9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«Красногуляевское городское поселение» Сенгилеевского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9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  <w:trHeight w:val="214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4C79CA">
              <w:rPr>
                <w:rFonts w:ascii="PT Astra Serif" w:hAnsi="PT Astra Serif"/>
                <w:color w:val="000000"/>
              </w:rPr>
              <w:t>1404,58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4C79CA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  <w:trHeight w:val="214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4C79CA">
              <w:rPr>
                <w:rFonts w:ascii="PT Astra Serif" w:hAnsi="PT Astra Serif"/>
                <w:color w:val="000000"/>
              </w:rPr>
              <w:t>1480,43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4C79CA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  <w:trHeight w:val="214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  <w:trHeight w:val="214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  <w:trHeight w:val="214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«Майнское городское поселение» Майнского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1529,12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1611,70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D0C55">
              <w:rPr>
                <w:rFonts w:ascii="PT Astra Serif" w:hAnsi="PT Astra Serif"/>
              </w:rPr>
              <w:t>На территории муниципального образования «Мирновское сельское поселение» Чердаклинского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D0C55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1364,38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1438,05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«Мулловское городское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2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1694,27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1785,77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1.13.</w:t>
            </w:r>
          </w:p>
        </w:tc>
        <w:tc>
          <w:tcPr>
            <w:tcW w:w="8538" w:type="dxa"/>
            <w:gridSpan w:val="4"/>
          </w:tcPr>
          <w:p w:rsidR="00B873D8" w:rsidRDefault="00B873D8" w:rsidP="009C116A">
            <w:pPr>
              <w:spacing w:line="235" w:lineRule="auto"/>
              <w:jc w:val="both"/>
              <w:rPr>
                <w:rFonts w:ascii="PT Astra Serif" w:hAnsi="PT Astra Serif" w:cs="Arial"/>
                <w:color w:val="000000"/>
              </w:rPr>
            </w:pPr>
            <w:r w:rsidRPr="0061119B">
              <w:rPr>
                <w:rFonts w:ascii="PT Astra Serif" w:hAnsi="PT Astra Serif"/>
              </w:rPr>
              <w:t>На территории муниципального</w:t>
            </w:r>
            <w:r>
              <w:rPr>
                <w:rFonts w:ascii="PT Astra Serif" w:hAnsi="PT Astra Serif"/>
              </w:rPr>
              <w:t xml:space="preserve"> образования «Николаевское городское поселение» Николаевского</w:t>
            </w:r>
            <w:r w:rsidRPr="0061119B">
              <w:rPr>
                <w:rFonts w:ascii="PT Astra Serif" w:hAnsi="PT Astra Serif"/>
              </w:rPr>
              <w:t xml:space="preserve">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61119B" w:rsidRDefault="00B873D8" w:rsidP="009C116A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1.13.1.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Default="00B873D8" w:rsidP="009C116A">
            <w:pPr>
              <w:spacing w:line="235" w:lineRule="auto"/>
              <w:rPr>
                <w:rFonts w:ascii="PT Astra Serif" w:hAnsi="PT Astra Serif" w:cs="Arial"/>
                <w:color w:val="000000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9C116A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1765,83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1935,20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1935,20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1944,23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1944,23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2111,61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1.13.2.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Default="00B873D8" w:rsidP="001030F0">
            <w:pPr>
              <w:spacing w:line="235" w:lineRule="auto"/>
              <w:rPr>
                <w:rFonts w:ascii="PT Astra Serif" w:hAnsi="PT Astra Serif" w:cs="Arial"/>
                <w:color w:val="000000"/>
              </w:rPr>
            </w:pPr>
            <w:r w:rsidRPr="00860EA4">
              <w:rPr>
                <w:rFonts w:ascii="PT Astra Serif" w:hAnsi="PT Astra Serif"/>
              </w:rPr>
              <w:t>Население (с учетом НДС)</w:t>
            </w:r>
            <w:r w:rsidRPr="00860EA4">
              <w:t xml:space="preserve"> </w:t>
            </w:r>
            <w:r w:rsidRPr="00860EA4">
              <w:rPr>
                <w:rFonts w:ascii="PT Astra Serif" w:hAnsi="PT Astra Serif"/>
              </w:rPr>
              <w:t>&lt;**&gt;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860EA4" w:rsidRDefault="00B873D8" w:rsidP="001030F0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2119,00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2322,24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2322,24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2333,08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2333,08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8F3A9C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2533,93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4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61119B">
              <w:rPr>
                <w:rFonts w:ascii="PT Astra Serif" w:hAnsi="PT Astra Serif"/>
              </w:rPr>
              <w:t>На территории муниципального образования «Николочеремшанское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61119B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4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1551,09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1551,40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5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«Новомайнское городское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5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1631,64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1719,81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1874,59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1874,59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2054,06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2054,06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2195,18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2195,18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2328,80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1.15</w:t>
            </w:r>
            <w:r w:rsidRPr="00093540">
              <w:rPr>
                <w:rFonts w:ascii="PT Astra Serif" w:hAnsi="PT Astra Serif"/>
              </w:rPr>
              <w:t>.2.</w:t>
            </w:r>
          </w:p>
        </w:tc>
        <w:tc>
          <w:tcPr>
            <w:tcW w:w="2693" w:type="dxa"/>
            <w:vMerge w:val="restart"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093540" w:rsidRDefault="00B873D8" w:rsidP="00093540">
            <w:pPr>
              <w:spacing w:line="235" w:lineRule="auto"/>
              <w:jc w:val="both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Население (с учетом НДС) &lt;**&gt;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both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1957,97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01.07.2022 по 30.11.2022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2063,77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01.12.2022 по 31.12.2023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2249,51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2249,51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2464,87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2464,87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2634,22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2634,22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2794,56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6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61119B">
              <w:rPr>
                <w:rFonts w:ascii="PT Astra Serif" w:hAnsi="PT Astra Serif"/>
              </w:rPr>
              <w:t>На территории муниципального образования «Новоселкинское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61119B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16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1396,28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1471,67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7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61119B">
              <w:rPr>
                <w:rFonts w:ascii="PT Astra Serif" w:hAnsi="PT Astra Serif"/>
              </w:rPr>
              <w:t>На территории муниципального образования «Озёрское сельское поселение» Чердаклинского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61119B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17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1279,83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1348,94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8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61119B">
              <w:rPr>
                <w:rFonts w:ascii="PT Astra Serif" w:hAnsi="PT Astra Serif"/>
              </w:rPr>
              <w:t>На территории муниципального образования «Октябрьское сельское поселение» Чердаклинского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61119B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18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1403,17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1478,48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9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«Павловское городское поселение» Павловского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1.1</w:t>
            </w:r>
            <w:r>
              <w:rPr>
                <w:rFonts w:ascii="PT Astra Serif" w:hAnsi="PT Astra Serif"/>
              </w:rPr>
              <w:t>9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701C13">
              <w:rPr>
                <w:rFonts w:ascii="PT Astra Serif" w:hAnsi="PT Astra Serif"/>
                <w:color w:val="000000"/>
              </w:rPr>
              <w:t>1629,12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01C13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701C13">
              <w:rPr>
                <w:rFonts w:ascii="PT Astra Serif" w:hAnsi="PT Astra Serif"/>
                <w:color w:val="000000"/>
              </w:rPr>
              <w:t>1717,09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01C13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1.20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«Сенгилеевское городское поселение» Сенгилеевского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1.20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1809,24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1906,93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1.21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«Силикатненское городское поселение» Сенгилеевского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1.21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1886,55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1886,55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1.22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 xml:space="preserve">На территории муниципального образования «Старокулаткинское </w:t>
            </w:r>
            <w:r w:rsidRPr="007E23D4">
              <w:rPr>
                <w:rFonts w:ascii="PT Astra Serif" w:hAnsi="PT Astra Serif"/>
              </w:rPr>
              <w:lastRenderedPageBreak/>
              <w:t>городское поселение» Старокулаткинского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1.22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1863,05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1963,66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1973,10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1973,10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2097,40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  <w:trHeight w:val="261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2089,58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2134,43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2134,43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2121,85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3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F25C3E">
              <w:rPr>
                <w:rFonts w:ascii="PT Astra Serif" w:hAnsi="PT Astra Serif"/>
              </w:rPr>
              <w:t>На территории муниципального образования «Старомайнское городское поселение» Старомайнского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F25C3E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3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1646,85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1735,78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  <w:trHeight w:val="261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4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«Старосахчинское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4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1736,48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1830,25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062B4">
              <w:rPr>
                <w:rFonts w:ascii="PT Astra Serif" w:hAnsi="PT Astra Serif"/>
                <w:color w:val="000000"/>
              </w:rPr>
              <w:t>2064,77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C062B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 w:rsidRPr="00C062B4">
              <w:rPr>
                <w:rFonts w:ascii="PT Astra Serif" w:hAnsi="PT Astra Serif"/>
                <w:color w:val="000000"/>
              </w:rPr>
              <w:t>2064,77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C062B4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2272,32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2262,97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2399,88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2399,88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2570,87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5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«Сурское городское поселение» Сурского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5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</w:t>
            </w:r>
            <w:r w:rsidRPr="007E23D4">
              <w:rPr>
                <w:rFonts w:ascii="PT Astra Serif" w:hAnsi="PT Astra Serif"/>
              </w:rPr>
              <w:lastRenderedPageBreak/>
              <w:t>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lastRenderedPageBreak/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1743,72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1837,88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6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«Тагайское сельское поселение» Майнского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6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ind w:left="-99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-99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1693,83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1775,65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1973,10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1973,10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2097,40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2089,58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2134,43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2134,43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2121,85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7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«Тереньгульское городское поселение» Тереньгульского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7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1861,93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1962,47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1.28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«Тиинское сельское поселение» Мелекесского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1.28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1598,78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1685,11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1973,10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1973,10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2097,40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2089,58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2134,43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2134,43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2121,85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9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«Тушнинское сельское поселение» Сенгилеевского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1.2</w:t>
            </w:r>
            <w:r>
              <w:rPr>
                <w:rFonts w:ascii="PT Astra Serif" w:hAnsi="PT Astra Serif"/>
              </w:rPr>
              <w:t>9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1808,06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1905,70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1.30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E76743">
              <w:rPr>
                <w:rFonts w:ascii="PT Astra Serif" w:hAnsi="PT Astra Serif"/>
              </w:rPr>
              <w:t>На территории муниципального образования «Цильнинское городское поселение» Цильнинского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E76743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1.30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1688,94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1780,14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1940,35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1940,35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2125,24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2125,24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2320,47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2320,47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2522,62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1.30</w:t>
            </w:r>
            <w:r w:rsidRPr="00093540">
              <w:rPr>
                <w:rFonts w:ascii="PT Astra Serif" w:hAnsi="PT Astra Serif"/>
              </w:rPr>
              <w:t>.2.</w:t>
            </w:r>
          </w:p>
        </w:tc>
        <w:tc>
          <w:tcPr>
            <w:tcW w:w="2693" w:type="dxa"/>
            <w:vMerge w:val="restart"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093540" w:rsidRDefault="00B873D8" w:rsidP="00093540">
            <w:pPr>
              <w:spacing w:line="235" w:lineRule="auto"/>
              <w:jc w:val="both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Население (с учетом НДС) &lt;**&gt;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both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2026,73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01.07.2022 по 30.11.2022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2136,17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01.12.2022 по 31.12.2023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2328,42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 w:rsidRPr="00093540">
              <w:rPr>
                <w:rFonts w:ascii="PT Astra Serif" w:hAnsi="PT Astra Serif" w:cs="Arial"/>
                <w:color w:val="000000"/>
              </w:rPr>
              <w:t>2328,42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2550,29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2550,29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2784,56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2784,56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626D4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093540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093540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093540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093540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093540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bottom"/>
          </w:tcPr>
          <w:p w:rsidR="00B873D8" w:rsidRPr="00093540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3027,14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31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«Чердаклинское городское поселение» Чердаклинского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31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</w:t>
            </w:r>
            <w:r w:rsidRPr="007E23D4">
              <w:rPr>
                <w:rFonts w:ascii="PT Astra Serif" w:hAnsi="PT Astra Serif"/>
              </w:rPr>
              <w:lastRenderedPageBreak/>
              <w:t>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lastRenderedPageBreak/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1161,47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1224,19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</w:t>
            </w:r>
            <w:r>
              <w:rPr>
                <w:rFonts w:ascii="PT Astra Serif" w:hAnsi="PT Astra Serif"/>
              </w:rPr>
              <w:t>32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«Чуфаровское городское поселение» Вешкаймского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1.32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1759,21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1854,19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1.3</w:t>
            </w:r>
            <w:r>
              <w:rPr>
                <w:rFonts w:ascii="PT Astra Serif" w:hAnsi="PT Astra Serif"/>
              </w:rPr>
              <w:t>3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«Языковское городское поселение» Карсунского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1.3</w:t>
            </w:r>
            <w:r>
              <w:rPr>
                <w:rFonts w:ascii="PT Astra Serif" w:hAnsi="PT Astra Serif"/>
              </w:rPr>
              <w:t>3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1560,18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1644,43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1.3</w:t>
            </w:r>
            <w:r>
              <w:rPr>
                <w:rFonts w:ascii="PT Astra Serif" w:hAnsi="PT Astra Serif"/>
              </w:rPr>
              <w:t>4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На территории муниципального образования «</w:t>
            </w:r>
            <w:r>
              <w:rPr>
                <w:rFonts w:ascii="PT Astra Serif" w:hAnsi="PT Astra Serif"/>
              </w:rPr>
              <w:t>Кузоватовское</w:t>
            </w:r>
            <w:r w:rsidRPr="007E23D4">
              <w:rPr>
                <w:rFonts w:ascii="PT Astra Serif" w:hAnsi="PT Astra Serif"/>
              </w:rPr>
              <w:t xml:space="preserve"> городское поселение» К</w:t>
            </w:r>
            <w:r>
              <w:rPr>
                <w:rFonts w:ascii="PT Astra Serif" w:hAnsi="PT Astra Serif"/>
              </w:rPr>
              <w:t>узоватовског</w:t>
            </w:r>
            <w:r w:rsidRPr="007E23D4">
              <w:rPr>
                <w:rFonts w:ascii="PT Astra Serif" w:hAnsi="PT Astra Serif"/>
              </w:rPr>
              <w:t>о района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1.3</w:t>
            </w:r>
            <w:r>
              <w:rPr>
                <w:rFonts w:ascii="PT Astra Serif" w:hAnsi="PT Astra Serif"/>
              </w:rPr>
              <w:t>4</w:t>
            </w:r>
            <w:r w:rsidRPr="007E23D4">
              <w:rPr>
                <w:rFonts w:ascii="PT Astra Serif" w:hAnsi="PT Astra Serif"/>
              </w:rPr>
              <w:t>.1.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1570,25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1655,04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1.3</w:t>
            </w:r>
            <w:r>
              <w:rPr>
                <w:rFonts w:ascii="PT Astra Serif" w:hAnsi="PT Astra Serif"/>
              </w:rPr>
              <w:t>5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8538" w:type="dxa"/>
            <w:gridSpan w:val="4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 xml:space="preserve">На территории муниципального образования </w:t>
            </w:r>
            <w:r>
              <w:rPr>
                <w:rFonts w:ascii="PT Astra Serif" w:hAnsi="PT Astra Serif"/>
              </w:rPr>
              <w:t>«город Новоульяновск»</w:t>
            </w:r>
            <w:r w:rsidRPr="007E23D4">
              <w:rPr>
                <w:rFonts w:ascii="PT Astra Serif" w:hAnsi="PT Astra Serif"/>
              </w:rPr>
              <w:t xml:space="preserve"> Ульяновской области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</w:tr>
      <w:tr w:rsidR="00B873D8" w:rsidRPr="007E23D4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1.3</w:t>
            </w:r>
            <w:r>
              <w:rPr>
                <w:rFonts w:ascii="PT Astra Serif" w:hAnsi="PT Astra Serif"/>
              </w:rPr>
              <w:t>5.1</w:t>
            </w:r>
            <w:r w:rsidRPr="007E23D4">
              <w:rPr>
                <w:rFonts w:ascii="PT Astra Serif" w:hAnsi="PT Astra Serif"/>
              </w:rPr>
              <w:t>.</w:t>
            </w:r>
          </w:p>
        </w:tc>
        <w:tc>
          <w:tcPr>
            <w:tcW w:w="2693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5845" w:type="dxa"/>
            <w:gridSpan w:val="3"/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Потребители, кроме населения (тарифы указываются без учёта НДС) &lt;*&gt;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Pr="007E23D4" w:rsidRDefault="00B873D8" w:rsidP="00093540">
            <w:pPr>
              <w:spacing w:line="235" w:lineRule="auto"/>
              <w:jc w:val="both"/>
              <w:rPr>
                <w:rFonts w:ascii="PT Astra Serif" w:hAnsi="PT Astra Serif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односта-вочный, руб./Гкал</w:t>
            </w: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01.01.2022 по 30.06.2022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  <w:r w:rsidRPr="007E179F">
              <w:rPr>
                <w:rFonts w:ascii="PT Astra Serif" w:hAnsi="PT Astra Serif"/>
                <w:color w:val="000000"/>
              </w:rPr>
              <w:t>015,00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01.07.2022 по 3</w:t>
            </w:r>
            <w:r>
              <w:rPr>
                <w:rFonts w:ascii="PT Astra Serif" w:hAnsi="PT Astra Serif"/>
              </w:rPr>
              <w:t>0</w:t>
            </w:r>
            <w:r w:rsidRPr="007E23D4">
              <w:rPr>
                <w:rFonts w:ascii="PT Astra Serif" w:hAnsi="PT Astra Serif"/>
              </w:rPr>
              <w:t>.1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.2022</w:t>
            </w:r>
          </w:p>
        </w:tc>
        <w:tc>
          <w:tcPr>
            <w:tcW w:w="1167" w:type="dxa"/>
            <w:vAlign w:val="bottom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  <w:r w:rsidRPr="007E179F">
              <w:rPr>
                <w:rFonts w:ascii="PT Astra Serif" w:hAnsi="PT Astra Serif"/>
                <w:color w:val="000000"/>
              </w:rPr>
              <w:t>120,31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 xml:space="preserve">2 </w:t>
            </w:r>
            <w:r w:rsidRPr="007E23D4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7E23D4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7E23D4">
              <w:rPr>
                <w:rFonts w:ascii="PT Astra Serif" w:hAnsi="PT Astra Serif"/>
              </w:rPr>
              <w:t>.2023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01.01.2024 по 30.06.2024</w:t>
            </w:r>
          </w:p>
        </w:tc>
        <w:tc>
          <w:tcPr>
            <w:tcW w:w="1167" w:type="dxa"/>
            <w:vAlign w:val="center"/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2547,67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93540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01.07.2024 по 31.12.2024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2734,49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01.01.2025 по 30.06.2025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2724,71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01.07.2025 по 31.12.2025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rPr>
          <w:gridAfter w:val="1"/>
          <w:wAfter w:w="426" w:type="dxa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01.01.2026 по 30.06.2026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2898,59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</w:p>
        </w:tc>
      </w:tr>
      <w:tr w:rsidR="00B873D8" w:rsidTr="00B873D8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101" w:type="dxa"/>
            <w:vMerge/>
          </w:tcPr>
          <w:p w:rsidR="00B873D8" w:rsidRPr="007E23D4" w:rsidRDefault="00B873D8" w:rsidP="00093540">
            <w:pPr>
              <w:spacing w:line="235" w:lineRule="auto"/>
              <w:ind w:left="-142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B873D8" w:rsidRPr="007E23D4" w:rsidRDefault="00B873D8" w:rsidP="00093540">
            <w:pPr>
              <w:spacing w:line="235" w:lineRule="auto"/>
              <w:ind w:left="33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873D8" w:rsidRPr="007E23D4" w:rsidRDefault="00B873D8" w:rsidP="00093540">
            <w:pPr>
              <w:spacing w:line="235" w:lineRule="auto"/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3402" w:type="dxa"/>
          </w:tcPr>
          <w:p w:rsidR="00B873D8" w:rsidRPr="007E23D4" w:rsidRDefault="00B873D8" w:rsidP="00093540">
            <w:pPr>
              <w:spacing w:line="235" w:lineRule="auto"/>
              <w:ind w:left="-109" w:right="-108"/>
              <w:jc w:val="center"/>
              <w:rPr>
                <w:rFonts w:ascii="PT Astra Serif" w:hAnsi="PT Astra Serif"/>
              </w:rPr>
            </w:pPr>
            <w:r w:rsidRPr="007E23D4">
              <w:rPr>
                <w:rFonts w:ascii="PT Astra Serif" w:hAnsi="PT Astra Serif"/>
              </w:rPr>
              <w:t>с 01.07.2026 по 31.12.2026</w:t>
            </w:r>
          </w:p>
        </w:tc>
        <w:tc>
          <w:tcPr>
            <w:tcW w:w="1167" w:type="dxa"/>
            <w:vAlign w:val="center"/>
          </w:tcPr>
          <w:p w:rsidR="00B873D8" w:rsidRDefault="00B873D8" w:rsidP="008F3A9C">
            <w:pPr>
              <w:spacing w:line="235" w:lineRule="auto"/>
              <w:jc w:val="center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 w:cs="Arial"/>
                <w:color w:val="000000"/>
              </w:rPr>
              <w:t>2867,14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B873D8" w:rsidRDefault="00B873D8" w:rsidP="00052D43">
            <w:pPr>
              <w:spacing w:line="230" w:lineRule="auto"/>
              <w:ind w:hanging="250"/>
              <w:rPr>
                <w:rFonts w:ascii="PT Astra Serif" w:hAnsi="PT Astra Serif"/>
                <w:color w:val="1A1818"/>
              </w:rPr>
            </w:pPr>
            <w:r>
              <w:rPr>
                <w:rFonts w:ascii="PT Astra Serif" w:hAnsi="PT Astra Serif"/>
                <w:color w:val="1A1818"/>
              </w:rPr>
              <w:t>«</w:t>
            </w:r>
          </w:p>
          <w:p w:rsidR="00B873D8" w:rsidRDefault="00B873D8" w:rsidP="00052D43">
            <w:pPr>
              <w:spacing w:line="230" w:lineRule="auto"/>
              <w:ind w:hanging="250"/>
              <w:rPr>
                <w:rFonts w:ascii="PT Astra Serif" w:hAnsi="PT Astra Serif"/>
                <w:color w:val="1A1818"/>
              </w:rPr>
            </w:pPr>
          </w:p>
          <w:p w:rsidR="00B873D8" w:rsidRDefault="00C51010" w:rsidP="00B873D8">
            <w:pPr>
              <w:spacing w:line="230" w:lineRule="auto"/>
              <w:ind w:left="-108"/>
              <w:rPr>
                <w:rFonts w:ascii="PT Astra Serif" w:hAnsi="PT Astra Serif"/>
                <w:color w:val="1A1818"/>
              </w:rPr>
            </w:pPr>
            <w:r>
              <w:rPr>
                <w:rFonts w:ascii="PT Astra Serif" w:hAnsi="PT Astra Serif"/>
                <w:color w:val="1A1818"/>
              </w:rPr>
              <w:t>».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73D8" w:rsidRPr="00222854" w:rsidRDefault="00B873D8" w:rsidP="00B873D8">
            <w:pPr>
              <w:spacing w:line="230" w:lineRule="auto"/>
              <w:ind w:hanging="250"/>
              <w:rPr>
                <w:rFonts w:ascii="PT Astra Serif" w:hAnsi="PT Astra Serif"/>
                <w:color w:val="1A1818"/>
              </w:rPr>
            </w:pPr>
            <w:r>
              <w:rPr>
                <w:rFonts w:ascii="PT Astra Serif" w:hAnsi="PT Astra Serif"/>
                <w:color w:val="1A1818"/>
              </w:rPr>
              <w:t>»</w:t>
            </w:r>
          </w:p>
        </w:tc>
      </w:tr>
    </w:tbl>
    <w:p w:rsidR="004B0663" w:rsidRPr="008F3A9B" w:rsidRDefault="004C3881" w:rsidP="008F3A9B">
      <w:pPr>
        <w:jc w:val="center"/>
        <w:rPr>
          <w:rFonts w:ascii="PT Astra Serif" w:hAnsi="PT Astra Serif"/>
          <w:spacing w:val="-24"/>
        </w:rPr>
      </w:pPr>
      <w:r w:rsidRPr="00C5718E">
        <w:rPr>
          <w:rFonts w:ascii="PT Astra Serif" w:hAnsi="PT Astra Serif"/>
          <w:spacing w:val="-24"/>
        </w:rPr>
        <w:t>_______</w:t>
      </w:r>
      <w:r w:rsidR="00F3082A" w:rsidRPr="00C5718E">
        <w:rPr>
          <w:rFonts w:ascii="PT Astra Serif" w:hAnsi="PT Astra Serif"/>
          <w:spacing w:val="-24"/>
        </w:rPr>
        <w:t>________</w:t>
      </w:r>
    </w:p>
    <w:p w:rsidR="003A6883" w:rsidRPr="00587F38" w:rsidRDefault="00606983" w:rsidP="00587F38">
      <w:pPr>
        <w:pStyle w:val="af2"/>
        <w:ind w:firstLine="709"/>
        <w:rPr>
          <w:rFonts w:ascii="PT Astra Serif" w:hAnsi="PT Astra Serif"/>
        </w:rPr>
      </w:pPr>
      <w:r>
        <w:rPr>
          <w:rFonts w:ascii="PT Astra Serif" w:hAnsi="PT Astra Serif"/>
          <w:bCs/>
        </w:rPr>
        <w:t xml:space="preserve">2. </w:t>
      </w:r>
      <w:r w:rsidR="003400CE">
        <w:rPr>
          <w:rFonts w:ascii="PT Astra Serif" w:hAnsi="PT Astra Serif"/>
        </w:rPr>
        <w:t>Настоящий приказ вступает в силу на следующий день после дня его официального опубликования.</w:t>
      </w:r>
    </w:p>
    <w:p w:rsidR="004B0663" w:rsidRDefault="004B0663" w:rsidP="00587F38">
      <w:pPr>
        <w:jc w:val="both"/>
        <w:rPr>
          <w:rFonts w:ascii="PT Astra Serif" w:hAnsi="PT Astra Serif" w:cs="PT Astra Serif"/>
        </w:rPr>
      </w:pPr>
    </w:p>
    <w:p w:rsidR="008F3A9B" w:rsidRDefault="008F3A9B" w:rsidP="00587F38">
      <w:pPr>
        <w:jc w:val="both"/>
        <w:rPr>
          <w:rFonts w:ascii="PT Astra Serif" w:hAnsi="PT Astra Serif" w:cs="PT Astra Serif"/>
        </w:rPr>
      </w:pPr>
    </w:p>
    <w:p w:rsidR="008F3A9B" w:rsidRDefault="008F3A9B" w:rsidP="00587F38">
      <w:pPr>
        <w:jc w:val="both"/>
        <w:rPr>
          <w:rFonts w:ascii="PT Astra Serif" w:hAnsi="PT Astra Serif" w:cs="PT Astra Serif"/>
        </w:rPr>
      </w:pPr>
    </w:p>
    <w:p w:rsidR="008F3A9B" w:rsidRDefault="00587F38" w:rsidP="00587F38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Исполняющий обязанности </w:t>
      </w:r>
    </w:p>
    <w:p w:rsidR="00A222AB" w:rsidRPr="008F3A9B" w:rsidRDefault="008F3A9B" w:rsidP="008F3A9B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р</w:t>
      </w:r>
      <w:r w:rsidR="00587F38">
        <w:rPr>
          <w:rFonts w:ascii="PT Astra Serif" w:hAnsi="PT Astra Serif" w:cs="PT Astra Serif"/>
        </w:rPr>
        <w:t>уководителя</w:t>
      </w:r>
      <w:r>
        <w:rPr>
          <w:rFonts w:ascii="PT Astra Serif" w:hAnsi="PT Astra Serif" w:cs="PT Astra Serif"/>
        </w:rPr>
        <w:t xml:space="preserve">                                                                                   </w:t>
      </w:r>
      <w:r w:rsidR="00587F38">
        <w:rPr>
          <w:rFonts w:ascii="PT Astra Serif" w:hAnsi="PT Astra Serif"/>
        </w:rPr>
        <w:t>Г.А.Добровольская</w:t>
      </w:r>
    </w:p>
    <w:p w:rsidR="00A222AB" w:rsidRPr="003A6883" w:rsidRDefault="00A222AB" w:rsidP="003A6883">
      <w:pPr>
        <w:spacing w:line="230" w:lineRule="auto"/>
        <w:ind w:right="-1" w:firstLine="708"/>
        <w:rPr>
          <w:rFonts w:ascii="PT Astra Serif" w:hAnsi="PT Astra Serif"/>
          <w:spacing w:val="-24"/>
        </w:rPr>
      </w:pPr>
    </w:p>
    <w:sectPr w:rsidR="00A222AB" w:rsidRPr="003A6883" w:rsidSect="00CD6F61">
      <w:headerReference w:type="default" r:id="rId9"/>
      <w:pgSz w:w="11906" w:h="16838"/>
      <w:pgMar w:top="1276" w:right="28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36" w:rsidRDefault="00D90636" w:rsidP="004C3881">
      <w:r>
        <w:separator/>
      </w:r>
    </w:p>
  </w:endnote>
  <w:endnote w:type="continuationSeparator" w:id="0">
    <w:p w:rsidR="00D90636" w:rsidRDefault="00D90636" w:rsidP="004C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36" w:rsidRDefault="00D90636" w:rsidP="004C3881">
      <w:r>
        <w:separator/>
      </w:r>
    </w:p>
  </w:footnote>
  <w:footnote w:type="continuationSeparator" w:id="0">
    <w:p w:rsidR="00D90636" w:rsidRDefault="00D90636" w:rsidP="004C3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61" w:rsidRDefault="00CD6F6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45670">
      <w:rPr>
        <w:noProof/>
      </w:rPr>
      <w:t>13</w:t>
    </w:r>
    <w:r>
      <w:fldChar w:fldCharType="end"/>
    </w:r>
  </w:p>
  <w:p w:rsidR="00CD6F61" w:rsidRDefault="00CD6F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BA277C7"/>
    <w:multiLevelType w:val="hybridMultilevel"/>
    <w:tmpl w:val="3F227782"/>
    <w:lvl w:ilvl="0" w:tplc="43F0B3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8">
    <w:nsid w:val="428A6BBF"/>
    <w:multiLevelType w:val="hybridMultilevel"/>
    <w:tmpl w:val="C5A25E60"/>
    <w:lvl w:ilvl="0" w:tplc="7714A8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8F47E23"/>
    <w:multiLevelType w:val="hybridMultilevel"/>
    <w:tmpl w:val="1234A2CC"/>
    <w:lvl w:ilvl="0" w:tplc="478C54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EFB4BE7"/>
    <w:multiLevelType w:val="hybridMultilevel"/>
    <w:tmpl w:val="6B3C584A"/>
    <w:lvl w:ilvl="0" w:tplc="162C1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8627886"/>
    <w:multiLevelType w:val="hybridMultilevel"/>
    <w:tmpl w:val="289A17C6"/>
    <w:lvl w:ilvl="0" w:tplc="7568A0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77B3136"/>
    <w:multiLevelType w:val="hybridMultilevel"/>
    <w:tmpl w:val="B3509E96"/>
    <w:lvl w:ilvl="0" w:tplc="49E8CA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6"/>
  </w:num>
  <w:num w:numId="7">
    <w:abstractNumId w:val="19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CB"/>
    <w:rsid w:val="000012BE"/>
    <w:rsid w:val="000013CB"/>
    <w:rsid w:val="00003EB1"/>
    <w:rsid w:val="000047E2"/>
    <w:rsid w:val="00006849"/>
    <w:rsid w:val="00011F44"/>
    <w:rsid w:val="00012B90"/>
    <w:rsid w:val="00014EF5"/>
    <w:rsid w:val="00017D6D"/>
    <w:rsid w:val="00033726"/>
    <w:rsid w:val="00036147"/>
    <w:rsid w:val="00051288"/>
    <w:rsid w:val="00052D43"/>
    <w:rsid w:val="00054BEA"/>
    <w:rsid w:val="00057514"/>
    <w:rsid w:val="00061BEE"/>
    <w:rsid w:val="00071B03"/>
    <w:rsid w:val="00084007"/>
    <w:rsid w:val="00084D1F"/>
    <w:rsid w:val="000852EB"/>
    <w:rsid w:val="000868F5"/>
    <w:rsid w:val="00093540"/>
    <w:rsid w:val="00097B79"/>
    <w:rsid w:val="000A3A75"/>
    <w:rsid w:val="000A4FD6"/>
    <w:rsid w:val="000B169B"/>
    <w:rsid w:val="000B2485"/>
    <w:rsid w:val="000B48E5"/>
    <w:rsid w:val="000B694F"/>
    <w:rsid w:val="000B6F0D"/>
    <w:rsid w:val="000B7D17"/>
    <w:rsid w:val="000C076C"/>
    <w:rsid w:val="000D29C8"/>
    <w:rsid w:val="000E0B40"/>
    <w:rsid w:val="000E0E5D"/>
    <w:rsid w:val="000E76F4"/>
    <w:rsid w:val="000F2D7F"/>
    <w:rsid w:val="001027D6"/>
    <w:rsid w:val="001030F0"/>
    <w:rsid w:val="00111ED9"/>
    <w:rsid w:val="0011535A"/>
    <w:rsid w:val="00115BAC"/>
    <w:rsid w:val="0011720F"/>
    <w:rsid w:val="001200FB"/>
    <w:rsid w:val="00141052"/>
    <w:rsid w:val="00142FB7"/>
    <w:rsid w:val="00147624"/>
    <w:rsid w:val="00152C8A"/>
    <w:rsid w:val="0015340D"/>
    <w:rsid w:val="001536BC"/>
    <w:rsid w:val="00165A6D"/>
    <w:rsid w:val="0017444C"/>
    <w:rsid w:val="001750C7"/>
    <w:rsid w:val="00192B93"/>
    <w:rsid w:val="00192F49"/>
    <w:rsid w:val="001935DE"/>
    <w:rsid w:val="00195238"/>
    <w:rsid w:val="001A0EFA"/>
    <w:rsid w:val="001A2624"/>
    <w:rsid w:val="001A3596"/>
    <w:rsid w:val="001A47F2"/>
    <w:rsid w:val="001B2429"/>
    <w:rsid w:val="001B69B6"/>
    <w:rsid w:val="001B7B77"/>
    <w:rsid w:val="001C0382"/>
    <w:rsid w:val="001C438D"/>
    <w:rsid w:val="001C47A7"/>
    <w:rsid w:val="001C5830"/>
    <w:rsid w:val="001C597A"/>
    <w:rsid w:val="001D14B9"/>
    <w:rsid w:val="001D31E1"/>
    <w:rsid w:val="001F3433"/>
    <w:rsid w:val="001F54A3"/>
    <w:rsid w:val="00201AF4"/>
    <w:rsid w:val="00203DB4"/>
    <w:rsid w:val="002100A6"/>
    <w:rsid w:val="00216A70"/>
    <w:rsid w:val="00221BF5"/>
    <w:rsid w:val="00222854"/>
    <w:rsid w:val="0022433F"/>
    <w:rsid w:val="00225571"/>
    <w:rsid w:val="00226C98"/>
    <w:rsid w:val="0023025B"/>
    <w:rsid w:val="00234220"/>
    <w:rsid w:val="002359F9"/>
    <w:rsid w:val="00236D3F"/>
    <w:rsid w:val="002378DA"/>
    <w:rsid w:val="00240B8F"/>
    <w:rsid w:val="00244D1D"/>
    <w:rsid w:val="00251DED"/>
    <w:rsid w:val="0025269C"/>
    <w:rsid w:val="002548E5"/>
    <w:rsid w:val="00257384"/>
    <w:rsid w:val="00264435"/>
    <w:rsid w:val="00284B4A"/>
    <w:rsid w:val="00285979"/>
    <w:rsid w:val="00287450"/>
    <w:rsid w:val="00287F6C"/>
    <w:rsid w:val="00297127"/>
    <w:rsid w:val="002A3BCF"/>
    <w:rsid w:val="002D48C4"/>
    <w:rsid w:val="002E3404"/>
    <w:rsid w:val="002E5EAB"/>
    <w:rsid w:val="002E646D"/>
    <w:rsid w:val="002E6E0F"/>
    <w:rsid w:val="003021D8"/>
    <w:rsid w:val="00305A83"/>
    <w:rsid w:val="00312A9B"/>
    <w:rsid w:val="00313E4E"/>
    <w:rsid w:val="003208B2"/>
    <w:rsid w:val="00323547"/>
    <w:rsid w:val="0033557E"/>
    <w:rsid w:val="003400CE"/>
    <w:rsid w:val="003424AF"/>
    <w:rsid w:val="00342E48"/>
    <w:rsid w:val="00350F15"/>
    <w:rsid w:val="00357412"/>
    <w:rsid w:val="0036082F"/>
    <w:rsid w:val="00365E3B"/>
    <w:rsid w:val="00367056"/>
    <w:rsid w:val="00370D7D"/>
    <w:rsid w:val="003715B8"/>
    <w:rsid w:val="00371BDB"/>
    <w:rsid w:val="003732CF"/>
    <w:rsid w:val="00375EF8"/>
    <w:rsid w:val="0038089E"/>
    <w:rsid w:val="003809D2"/>
    <w:rsid w:val="00381BF4"/>
    <w:rsid w:val="003848D1"/>
    <w:rsid w:val="0039221E"/>
    <w:rsid w:val="003945D1"/>
    <w:rsid w:val="003A6883"/>
    <w:rsid w:val="003A720D"/>
    <w:rsid w:val="003B19A1"/>
    <w:rsid w:val="003C65CE"/>
    <w:rsid w:val="003C766A"/>
    <w:rsid w:val="003D6DBA"/>
    <w:rsid w:val="003D7021"/>
    <w:rsid w:val="003D7A30"/>
    <w:rsid w:val="003E671E"/>
    <w:rsid w:val="003F26CD"/>
    <w:rsid w:val="003F38BA"/>
    <w:rsid w:val="003F5C03"/>
    <w:rsid w:val="00400676"/>
    <w:rsid w:val="00405666"/>
    <w:rsid w:val="00412B5D"/>
    <w:rsid w:val="0042350C"/>
    <w:rsid w:val="00435D5A"/>
    <w:rsid w:val="004360E8"/>
    <w:rsid w:val="00436203"/>
    <w:rsid w:val="00446045"/>
    <w:rsid w:val="00451812"/>
    <w:rsid w:val="00451EBC"/>
    <w:rsid w:val="004562B1"/>
    <w:rsid w:val="00456D94"/>
    <w:rsid w:val="00460941"/>
    <w:rsid w:val="0046515A"/>
    <w:rsid w:val="00482012"/>
    <w:rsid w:val="0048241F"/>
    <w:rsid w:val="00484121"/>
    <w:rsid w:val="00486F8E"/>
    <w:rsid w:val="0048759A"/>
    <w:rsid w:val="00490946"/>
    <w:rsid w:val="004923DA"/>
    <w:rsid w:val="00494884"/>
    <w:rsid w:val="004A507C"/>
    <w:rsid w:val="004B0663"/>
    <w:rsid w:val="004B5954"/>
    <w:rsid w:val="004C3881"/>
    <w:rsid w:val="004C4BEC"/>
    <w:rsid w:val="004C5E40"/>
    <w:rsid w:val="004C79CA"/>
    <w:rsid w:val="004D7A1B"/>
    <w:rsid w:val="004E6ECC"/>
    <w:rsid w:val="004F2E6E"/>
    <w:rsid w:val="004F2EEF"/>
    <w:rsid w:val="004F585C"/>
    <w:rsid w:val="005048C0"/>
    <w:rsid w:val="00505AB6"/>
    <w:rsid w:val="005100BF"/>
    <w:rsid w:val="005111EE"/>
    <w:rsid w:val="00511EF7"/>
    <w:rsid w:val="00512CAC"/>
    <w:rsid w:val="005131D3"/>
    <w:rsid w:val="0052485D"/>
    <w:rsid w:val="005263AC"/>
    <w:rsid w:val="00530860"/>
    <w:rsid w:val="00530F21"/>
    <w:rsid w:val="00531338"/>
    <w:rsid w:val="005348C1"/>
    <w:rsid w:val="00542EB0"/>
    <w:rsid w:val="00551136"/>
    <w:rsid w:val="00552893"/>
    <w:rsid w:val="00554EE9"/>
    <w:rsid w:val="0056165B"/>
    <w:rsid w:val="00566A20"/>
    <w:rsid w:val="0056780E"/>
    <w:rsid w:val="00570A3D"/>
    <w:rsid w:val="00576183"/>
    <w:rsid w:val="00584E58"/>
    <w:rsid w:val="00587F38"/>
    <w:rsid w:val="00597102"/>
    <w:rsid w:val="00597334"/>
    <w:rsid w:val="005A1789"/>
    <w:rsid w:val="005A6F4C"/>
    <w:rsid w:val="005B1550"/>
    <w:rsid w:val="005D1200"/>
    <w:rsid w:val="005D4798"/>
    <w:rsid w:val="005D488A"/>
    <w:rsid w:val="005D760D"/>
    <w:rsid w:val="005E4C3E"/>
    <w:rsid w:val="005E6429"/>
    <w:rsid w:val="005F7D2E"/>
    <w:rsid w:val="00602E01"/>
    <w:rsid w:val="0060612A"/>
    <w:rsid w:val="00606983"/>
    <w:rsid w:val="0061119B"/>
    <w:rsid w:val="006158D3"/>
    <w:rsid w:val="00626316"/>
    <w:rsid w:val="00626D48"/>
    <w:rsid w:val="006316F6"/>
    <w:rsid w:val="0064248B"/>
    <w:rsid w:val="00654589"/>
    <w:rsid w:val="00665847"/>
    <w:rsid w:val="0067155A"/>
    <w:rsid w:val="00675D23"/>
    <w:rsid w:val="00680A3F"/>
    <w:rsid w:val="00687DB4"/>
    <w:rsid w:val="0069288A"/>
    <w:rsid w:val="00696BCF"/>
    <w:rsid w:val="0069711C"/>
    <w:rsid w:val="00697B52"/>
    <w:rsid w:val="006A1F7A"/>
    <w:rsid w:val="006C3438"/>
    <w:rsid w:val="006D073F"/>
    <w:rsid w:val="006D19C6"/>
    <w:rsid w:val="006D2264"/>
    <w:rsid w:val="006D2279"/>
    <w:rsid w:val="006D3D5B"/>
    <w:rsid w:val="006D7C96"/>
    <w:rsid w:val="006E296A"/>
    <w:rsid w:val="006E40CB"/>
    <w:rsid w:val="006E58E4"/>
    <w:rsid w:val="006E7394"/>
    <w:rsid w:val="006F239E"/>
    <w:rsid w:val="00701C13"/>
    <w:rsid w:val="007070C4"/>
    <w:rsid w:val="007073CC"/>
    <w:rsid w:val="00717C0B"/>
    <w:rsid w:val="00720EB3"/>
    <w:rsid w:val="00721174"/>
    <w:rsid w:val="00725D74"/>
    <w:rsid w:val="00730DEB"/>
    <w:rsid w:val="00733878"/>
    <w:rsid w:val="0073561D"/>
    <w:rsid w:val="00743C11"/>
    <w:rsid w:val="007479E9"/>
    <w:rsid w:val="0075185F"/>
    <w:rsid w:val="0075418D"/>
    <w:rsid w:val="00754C31"/>
    <w:rsid w:val="00762CBF"/>
    <w:rsid w:val="0076592F"/>
    <w:rsid w:val="00774797"/>
    <w:rsid w:val="00775AE5"/>
    <w:rsid w:val="00784752"/>
    <w:rsid w:val="00784EA5"/>
    <w:rsid w:val="00790738"/>
    <w:rsid w:val="00790CBD"/>
    <w:rsid w:val="00795C79"/>
    <w:rsid w:val="007A2E67"/>
    <w:rsid w:val="007B0F77"/>
    <w:rsid w:val="007B35E4"/>
    <w:rsid w:val="007B5CC4"/>
    <w:rsid w:val="007C119F"/>
    <w:rsid w:val="007D0C55"/>
    <w:rsid w:val="007D1AE2"/>
    <w:rsid w:val="007D491D"/>
    <w:rsid w:val="007D583D"/>
    <w:rsid w:val="007E0397"/>
    <w:rsid w:val="007E179F"/>
    <w:rsid w:val="007E23D4"/>
    <w:rsid w:val="007E6AB1"/>
    <w:rsid w:val="007F1046"/>
    <w:rsid w:val="00812AF8"/>
    <w:rsid w:val="0082784A"/>
    <w:rsid w:val="00830C79"/>
    <w:rsid w:val="00832E63"/>
    <w:rsid w:val="00832E9E"/>
    <w:rsid w:val="0083322D"/>
    <w:rsid w:val="00834F07"/>
    <w:rsid w:val="00843B5B"/>
    <w:rsid w:val="00843DB9"/>
    <w:rsid w:val="00853EDC"/>
    <w:rsid w:val="00860A36"/>
    <w:rsid w:val="00860EA4"/>
    <w:rsid w:val="00863C62"/>
    <w:rsid w:val="008649DD"/>
    <w:rsid w:val="00865907"/>
    <w:rsid w:val="008667D8"/>
    <w:rsid w:val="00867CAA"/>
    <w:rsid w:val="00867FBE"/>
    <w:rsid w:val="00873A2D"/>
    <w:rsid w:val="00884E81"/>
    <w:rsid w:val="00885E78"/>
    <w:rsid w:val="00893484"/>
    <w:rsid w:val="008A2369"/>
    <w:rsid w:val="008A7824"/>
    <w:rsid w:val="008B1119"/>
    <w:rsid w:val="008B4A5E"/>
    <w:rsid w:val="008C1577"/>
    <w:rsid w:val="008C1632"/>
    <w:rsid w:val="008E48A7"/>
    <w:rsid w:val="008F312E"/>
    <w:rsid w:val="008F3A9B"/>
    <w:rsid w:val="008F3A9C"/>
    <w:rsid w:val="008F4542"/>
    <w:rsid w:val="00905C2D"/>
    <w:rsid w:val="00910726"/>
    <w:rsid w:val="00912FC0"/>
    <w:rsid w:val="00937414"/>
    <w:rsid w:val="009376F9"/>
    <w:rsid w:val="00952CDA"/>
    <w:rsid w:val="0096019D"/>
    <w:rsid w:val="009649A4"/>
    <w:rsid w:val="009654D8"/>
    <w:rsid w:val="00971C04"/>
    <w:rsid w:val="00977FE5"/>
    <w:rsid w:val="00980180"/>
    <w:rsid w:val="0098526B"/>
    <w:rsid w:val="00993B7B"/>
    <w:rsid w:val="00997EAE"/>
    <w:rsid w:val="009A0653"/>
    <w:rsid w:val="009A53EB"/>
    <w:rsid w:val="009A627D"/>
    <w:rsid w:val="009B2620"/>
    <w:rsid w:val="009C116A"/>
    <w:rsid w:val="009C2193"/>
    <w:rsid w:val="009C29F9"/>
    <w:rsid w:val="009C641C"/>
    <w:rsid w:val="009E28AD"/>
    <w:rsid w:val="009E3A07"/>
    <w:rsid w:val="009E3C16"/>
    <w:rsid w:val="009E62FD"/>
    <w:rsid w:val="009F48E7"/>
    <w:rsid w:val="009F5443"/>
    <w:rsid w:val="00A01277"/>
    <w:rsid w:val="00A023E7"/>
    <w:rsid w:val="00A02A32"/>
    <w:rsid w:val="00A05E55"/>
    <w:rsid w:val="00A061E7"/>
    <w:rsid w:val="00A11C06"/>
    <w:rsid w:val="00A222AB"/>
    <w:rsid w:val="00A25631"/>
    <w:rsid w:val="00A30F8E"/>
    <w:rsid w:val="00A37E4D"/>
    <w:rsid w:val="00A45CAF"/>
    <w:rsid w:val="00A47555"/>
    <w:rsid w:val="00A50B3A"/>
    <w:rsid w:val="00A6154C"/>
    <w:rsid w:val="00A62075"/>
    <w:rsid w:val="00A624C9"/>
    <w:rsid w:val="00A6256D"/>
    <w:rsid w:val="00A62DC6"/>
    <w:rsid w:val="00A63405"/>
    <w:rsid w:val="00A63665"/>
    <w:rsid w:val="00A64946"/>
    <w:rsid w:val="00A67520"/>
    <w:rsid w:val="00A70483"/>
    <w:rsid w:val="00A712BF"/>
    <w:rsid w:val="00A7678C"/>
    <w:rsid w:val="00A846A7"/>
    <w:rsid w:val="00A8718A"/>
    <w:rsid w:val="00A934CB"/>
    <w:rsid w:val="00A9532D"/>
    <w:rsid w:val="00A95BA8"/>
    <w:rsid w:val="00AA13C1"/>
    <w:rsid w:val="00AA220F"/>
    <w:rsid w:val="00AA2CA7"/>
    <w:rsid w:val="00AA4427"/>
    <w:rsid w:val="00AA4F2B"/>
    <w:rsid w:val="00AA57D2"/>
    <w:rsid w:val="00AB2D2C"/>
    <w:rsid w:val="00AB2F2A"/>
    <w:rsid w:val="00AB33A3"/>
    <w:rsid w:val="00AB45CE"/>
    <w:rsid w:val="00AC2024"/>
    <w:rsid w:val="00AC25F4"/>
    <w:rsid w:val="00AC4121"/>
    <w:rsid w:val="00AC717E"/>
    <w:rsid w:val="00AD6DD7"/>
    <w:rsid w:val="00AD7F5B"/>
    <w:rsid w:val="00AE0D24"/>
    <w:rsid w:val="00AE77E5"/>
    <w:rsid w:val="00AF1253"/>
    <w:rsid w:val="00AF455F"/>
    <w:rsid w:val="00B11A2D"/>
    <w:rsid w:val="00B24E0D"/>
    <w:rsid w:val="00B2537D"/>
    <w:rsid w:val="00B262D6"/>
    <w:rsid w:val="00B2780E"/>
    <w:rsid w:val="00B41504"/>
    <w:rsid w:val="00B437E9"/>
    <w:rsid w:val="00B46931"/>
    <w:rsid w:val="00B5074F"/>
    <w:rsid w:val="00B67886"/>
    <w:rsid w:val="00B70A8B"/>
    <w:rsid w:val="00B70BF1"/>
    <w:rsid w:val="00B70E09"/>
    <w:rsid w:val="00B73707"/>
    <w:rsid w:val="00B826BA"/>
    <w:rsid w:val="00B873D8"/>
    <w:rsid w:val="00B90788"/>
    <w:rsid w:val="00BB6FF6"/>
    <w:rsid w:val="00BC5399"/>
    <w:rsid w:val="00BD18F6"/>
    <w:rsid w:val="00BD3270"/>
    <w:rsid w:val="00BD7539"/>
    <w:rsid w:val="00BE0A45"/>
    <w:rsid w:val="00BE56B1"/>
    <w:rsid w:val="00BF2722"/>
    <w:rsid w:val="00C0282F"/>
    <w:rsid w:val="00C04F6B"/>
    <w:rsid w:val="00C062B4"/>
    <w:rsid w:val="00C1125B"/>
    <w:rsid w:val="00C148EC"/>
    <w:rsid w:val="00C15022"/>
    <w:rsid w:val="00C22D14"/>
    <w:rsid w:val="00C23640"/>
    <w:rsid w:val="00C260FA"/>
    <w:rsid w:val="00C33BF2"/>
    <w:rsid w:val="00C373DA"/>
    <w:rsid w:val="00C418A9"/>
    <w:rsid w:val="00C41954"/>
    <w:rsid w:val="00C47BE4"/>
    <w:rsid w:val="00C51010"/>
    <w:rsid w:val="00C54FF5"/>
    <w:rsid w:val="00C5718E"/>
    <w:rsid w:val="00C7348A"/>
    <w:rsid w:val="00C771E6"/>
    <w:rsid w:val="00C844DF"/>
    <w:rsid w:val="00CA0E46"/>
    <w:rsid w:val="00CA0EA7"/>
    <w:rsid w:val="00CA1E5F"/>
    <w:rsid w:val="00CA3E0C"/>
    <w:rsid w:val="00CA68C7"/>
    <w:rsid w:val="00CB0525"/>
    <w:rsid w:val="00CB36D4"/>
    <w:rsid w:val="00CC3593"/>
    <w:rsid w:val="00CC50BD"/>
    <w:rsid w:val="00CD498D"/>
    <w:rsid w:val="00CD6F61"/>
    <w:rsid w:val="00CD78B8"/>
    <w:rsid w:val="00CE000A"/>
    <w:rsid w:val="00CF0C9D"/>
    <w:rsid w:val="00CF3DB9"/>
    <w:rsid w:val="00CF3FD3"/>
    <w:rsid w:val="00CF4F33"/>
    <w:rsid w:val="00CF7E3E"/>
    <w:rsid w:val="00D0278E"/>
    <w:rsid w:val="00D04EB6"/>
    <w:rsid w:val="00D10984"/>
    <w:rsid w:val="00D158B7"/>
    <w:rsid w:val="00D17321"/>
    <w:rsid w:val="00D174D8"/>
    <w:rsid w:val="00D2488E"/>
    <w:rsid w:val="00D43023"/>
    <w:rsid w:val="00D43CD6"/>
    <w:rsid w:val="00D515DD"/>
    <w:rsid w:val="00D62982"/>
    <w:rsid w:val="00D63447"/>
    <w:rsid w:val="00D667C7"/>
    <w:rsid w:val="00D6716A"/>
    <w:rsid w:val="00D7682B"/>
    <w:rsid w:val="00D76AB5"/>
    <w:rsid w:val="00D87239"/>
    <w:rsid w:val="00D879A6"/>
    <w:rsid w:val="00D90636"/>
    <w:rsid w:val="00DB7E5C"/>
    <w:rsid w:val="00DC4AEB"/>
    <w:rsid w:val="00DC7326"/>
    <w:rsid w:val="00DC7745"/>
    <w:rsid w:val="00DC7CC6"/>
    <w:rsid w:val="00DD794C"/>
    <w:rsid w:val="00DE2B77"/>
    <w:rsid w:val="00DE590A"/>
    <w:rsid w:val="00DE7670"/>
    <w:rsid w:val="00DE7B6C"/>
    <w:rsid w:val="00E04F80"/>
    <w:rsid w:val="00E10E9A"/>
    <w:rsid w:val="00E10EF6"/>
    <w:rsid w:val="00E12B40"/>
    <w:rsid w:val="00E15955"/>
    <w:rsid w:val="00E42B88"/>
    <w:rsid w:val="00E45670"/>
    <w:rsid w:val="00E504FD"/>
    <w:rsid w:val="00E52E2D"/>
    <w:rsid w:val="00E54358"/>
    <w:rsid w:val="00E65285"/>
    <w:rsid w:val="00E76595"/>
    <w:rsid w:val="00E76743"/>
    <w:rsid w:val="00E778F8"/>
    <w:rsid w:val="00E82525"/>
    <w:rsid w:val="00E847B8"/>
    <w:rsid w:val="00E84F0F"/>
    <w:rsid w:val="00E9364E"/>
    <w:rsid w:val="00E97E02"/>
    <w:rsid w:val="00EA3633"/>
    <w:rsid w:val="00EA3815"/>
    <w:rsid w:val="00EB0B7E"/>
    <w:rsid w:val="00EC2B7A"/>
    <w:rsid w:val="00EC6AB7"/>
    <w:rsid w:val="00ED6D42"/>
    <w:rsid w:val="00EE2625"/>
    <w:rsid w:val="00EE67AC"/>
    <w:rsid w:val="00F01C57"/>
    <w:rsid w:val="00F03C6F"/>
    <w:rsid w:val="00F127A1"/>
    <w:rsid w:val="00F135A8"/>
    <w:rsid w:val="00F22937"/>
    <w:rsid w:val="00F24998"/>
    <w:rsid w:val="00F25C3E"/>
    <w:rsid w:val="00F27FAC"/>
    <w:rsid w:val="00F3082A"/>
    <w:rsid w:val="00F31003"/>
    <w:rsid w:val="00F311D2"/>
    <w:rsid w:val="00F37C42"/>
    <w:rsid w:val="00F40CFA"/>
    <w:rsid w:val="00F41B3E"/>
    <w:rsid w:val="00F435DF"/>
    <w:rsid w:val="00F474F2"/>
    <w:rsid w:val="00F50F97"/>
    <w:rsid w:val="00F57BEE"/>
    <w:rsid w:val="00F6242C"/>
    <w:rsid w:val="00F72FA2"/>
    <w:rsid w:val="00F816C5"/>
    <w:rsid w:val="00F835EE"/>
    <w:rsid w:val="00F85514"/>
    <w:rsid w:val="00F87A34"/>
    <w:rsid w:val="00F93519"/>
    <w:rsid w:val="00FA172C"/>
    <w:rsid w:val="00FA3833"/>
    <w:rsid w:val="00FA63F6"/>
    <w:rsid w:val="00FA692E"/>
    <w:rsid w:val="00FB0348"/>
    <w:rsid w:val="00FB1A97"/>
    <w:rsid w:val="00FC0818"/>
    <w:rsid w:val="00FC438C"/>
    <w:rsid w:val="00FC6598"/>
    <w:rsid w:val="00FD41FE"/>
    <w:rsid w:val="00FD63EE"/>
    <w:rsid w:val="00FD6D80"/>
    <w:rsid w:val="00FD6E9E"/>
    <w:rsid w:val="00FD7F5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rsid w:val="00A222AB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A222AB"/>
    <w:rPr>
      <w:rFonts w:cs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rsid w:val="003400C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3400CE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uiPriority w:val="99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rsid w:val="00A222AB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locked/>
    <w:rsid w:val="00A222AB"/>
    <w:rPr>
      <w:rFonts w:cs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rsid w:val="003400C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3400CE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3299B-2B77-4F97-8329-338A6132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</vt:lpstr>
    </vt:vector>
  </TitlesOfParts>
  <Company/>
  <LinksUpToDate>false</LinksUpToDate>
  <CharactersWithSpaces>24400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</dc:title>
  <dc:creator>mineeva</dc:creator>
  <cp:lastModifiedBy>Вавилина Оксана Александровна</cp:lastModifiedBy>
  <cp:revision>2</cp:revision>
  <cp:lastPrinted>2024-06-11T05:57:00Z</cp:lastPrinted>
  <dcterms:created xsi:type="dcterms:W3CDTF">2024-06-11T06:47:00Z</dcterms:created>
  <dcterms:modified xsi:type="dcterms:W3CDTF">2024-06-11T06:47:00Z</dcterms:modified>
</cp:coreProperties>
</file>