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18" w:rsidRPr="00417DF5" w:rsidRDefault="00222B70" w:rsidP="00222B7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bCs/>
          <w:sz w:val="28"/>
          <w:szCs w:val="28"/>
        </w:rPr>
      </w:pPr>
      <w:r w:rsidRPr="00417DF5">
        <w:rPr>
          <w:rFonts w:ascii="PT Astra Serif" w:hAnsi="PT Astra Serif"/>
          <w:bCs/>
          <w:sz w:val="28"/>
          <w:szCs w:val="28"/>
        </w:rPr>
        <w:t>Проект</w:t>
      </w:r>
    </w:p>
    <w:p w:rsidR="00222B70" w:rsidRPr="00417DF5" w:rsidRDefault="00222B70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417DF5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C16CDA" w:rsidRPr="00417DF5" w:rsidRDefault="00222B70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417DF5">
        <w:rPr>
          <w:rFonts w:ascii="PT Astra Serif" w:hAnsi="PT Astra Serif"/>
          <w:bCs/>
          <w:sz w:val="28"/>
          <w:szCs w:val="28"/>
        </w:rPr>
        <w:t>ПОСТАНОВЛЕНИЕ</w:t>
      </w:r>
    </w:p>
    <w:p w:rsidR="00C16CDA" w:rsidRPr="00417DF5" w:rsidRDefault="00C16CDA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C16CDA" w:rsidRPr="00417DF5" w:rsidRDefault="00C16CDA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C16CDA" w:rsidRPr="00417DF5" w:rsidRDefault="00C16CDA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</w:p>
    <w:p w:rsidR="00C16CDA" w:rsidRPr="00417DF5" w:rsidRDefault="00C16CDA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50D18" w:rsidRPr="00417DF5" w:rsidRDefault="00C50D18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50D18" w:rsidRPr="00417DF5" w:rsidRDefault="00C50D18" w:rsidP="00726B91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50D18" w:rsidRPr="00417DF5" w:rsidRDefault="00C50D18" w:rsidP="00C16C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6CDA" w:rsidRPr="00417DF5" w:rsidRDefault="00C16CDA" w:rsidP="00C16C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6CDA" w:rsidRPr="00417DF5" w:rsidRDefault="00C16CDA" w:rsidP="00C16CD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17DF5" w:rsidRPr="00417DF5" w:rsidRDefault="00417DF5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ar58"/>
      <w:bookmarkEnd w:id="0"/>
      <w:r w:rsidRPr="00417DF5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17DF5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 от 27.12.2019 № 784-П</w:t>
      </w:r>
      <w:r w:rsidRPr="00417DF5">
        <w:rPr>
          <w:rFonts w:ascii="PT Astra Serif" w:hAnsi="PT Astra Serif"/>
          <w:sz w:val="28"/>
          <w:szCs w:val="28"/>
        </w:rPr>
        <w:br/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417DF5">
        <w:rPr>
          <w:rFonts w:ascii="PT Astra Serif" w:hAnsi="PT Astra Serif"/>
          <w:sz w:val="28"/>
          <w:szCs w:val="28"/>
        </w:rPr>
        <w:t>п</w:t>
      </w:r>
      <w:proofErr w:type="gramEnd"/>
      <w:r w:rsidRPr="00417DF5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>1. Внести в 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417DF5">
        <w:rPr>
          <w:rFonts w:ascii="PT Astra Serif" w:hAnsi="PT Astra Serif"/>
          <w:sz w:val="28"/>
          <w:szCs w:val="28"/>
        </w:rPr>
        <w:t>от 27.12.2019 № 784-П «О мерах по повышению эффективности деятельности хозяйственных обществ, в уставных капиталах которых доля участия Ульяновской области превышает 50 процентов» следующие изменения: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>1) в наименовании слова «</w:t>
      </w:r>
      <w:r w:rsidRPr="00417DF5">
        <w:rPr>
          <w:rFonts w:ascii="PT Astra Serif" w:hAnsi="PT Astra Serif"/>
          <w:b/>
          <w:sz w:val="28"/>
          <w:szCs w:val="28"/>
        </w:rPr>
        <w:t>мерах по повышению</w:t>
      </w:r>
      <w:r w:rsidRPr="00417DF5">
        <w:rPr>
          <w:rFonts w:ascii="PT Astra Serif" w:hAnsi="PT Astra Serif"/>
          <w:sz w:val="28"/>
          <w:szCs w:val="28"/>
        </w:rPr>
        <w:t>» заменить словами «</w:t>
      </w:r>
      <w:r w:rsidRPr="00417DF5">
        <w:rPr>
          <w:rFonts w:ascii="PT Astra Serif" w:hAnsi="PT Astra Serif"/>
          <w:b/>
          <w:sz w:val="28"/>
          <w:szCs w:val="28"/>
        </w:rPr>
        <w:t>некоторых мерах, направленных на повышение</w:t>
      </w:r>
      <w:r w:rsidRPr="00417DF5">
        <w:rPr>
          <w:rFonts w:ascii="PT Astra Serif" w:hAnsi="PT Astra Serif"/>
          <w:sz w:val="28"/>
          <w:szCs w:val="28"/>
        </w:rPr>
        <w:t>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>2) в пункте 1 слово «формированию» заменить словами «вопросам формирования»;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>3) в абзаце первом пункта 2 слова «в отношении» исключить;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/>
          <w:sz w:val="28"/>
          <w:szCs w:val="28"/>
        </w:rPr>
        <w:t xml:space="preserve">4) в </w:t>
      </w:r>
      <w:r w:rsidRPr="00417DF5">
        <w:rPr>
          <w:rFonts w:ascii="PT Astra Serif" w:hAnsi="PT Astra Serif" w:cs="PT Astra Serif"/>
          <w:sz w:val="28"/>
          <w:szCs w:val="28"/>
        </w:rPr>
        <w:t xml:space="preserve">Методических рекомендациях по формированию ключевых показателей эффективности деятельности хозяйственных обществ, в уставных капиталах которых доля участия Ульяновской области превышает </w:t>
      </w:r>
      <w:r>
        <w:rPr>
          <w:rFonts w:ascii="PT Astra Serif" w:hAnsi="PT Astra Serif" w:cs="PT Astra Serif"/>
          <w:sz w:val="28"/>
          <w:szCs w:val="28"/>
        </w:rPr>
        <w:br/>
      </w:r>
      <w:r w:rsidRPr="00417DF5">
        <w:rPr>
          <w:rFonts w:ascii="PT Astra Serif" w:hAnsi="PT Astra Serif" w:cs="PT Astra Serif"/>
          <w:sz w:val="28"/>
          <w:szCs w:val="28"/>
        </w:rPr>
        <w:t>50 процентов: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 xml:space="preserve">а) в наименовании </w:t>
      </w:r>
      <w:r w:rsidRPr="00417DF5">
        <w:rPr>
          <w:rFonts w:ascii="PT Astra Serif" w:hAnsi="PT Astra Serif"/>
          <w:sz w:val="28"/>
          <w:szCs w:val="28"/>
        </w:rPr>
        <w:t>слово «формированию» заменить словами «вопросам формирования»;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б) пункт 1 изложить в следующей редакции: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 xml:space="preserve">«1. Настоящие методические рекомендации предназначены для оказания исполнительным органам Ульяновской области, наделённым полномочиями </w:t>
      </w:r>
      <w:r>
        <w:rPr>
          <w:rFonts w:ascii="PT Astra Serif" w:hAnsi="PT Astra Serif" w:cs="PT Astra Serif"/>
          <w:sz w:val="28"/>
          <w:szCs w:val="28"/>
        </w:rPr>
        <w:br/>
      </w:r>
      <w:r w:rsidRPr="00417DF5">
        <w:rPr>
          <w:rFonts w:ascii="PT Astra Serif" w:hAnsi="PT Astra Serif" w:cs="PT Astra Serif"/>
          <w:sz w:val="28"/>
          <w:szCs w:val="28"/>
        </w:rPr>
        <w:t xml:space="preserve">по осуществлению прав акционера (участника) хозяйственных обществ, </w:t>
      </w:r>
      <w:r>
        <w:rPr>
          <w:rFonts w:ascii="PT Astra Serif" w:hAnsi="PT Astra Serif" w:cs="PT Astra Serif"/>
          <w:sz w:val="28"/>
          <w:szCs w:val="28"/>
        </w:rPr>
        <w:br/>
      </w:r>
      <w:r w:rsidRPr="00417DF5">
        <w:rPr>
          <w:rFonts w:ascii="PT Astra Serif" w:hAnsi="PT Astra Serif" w:cs="PT Astra Serif"/>
          <w:sz w:val="28"/>
          <w:szCs w:val="28"/>
        </w:rPr>
        <w:t>в уставных капиталах которых доля участия Ульяновской области превышает 50 процентов (далее – общества), содействия в формировании и применении ключевых показателей эффективности деятельности обществ</w:t>
      </w:r>
      <w:proofErr w:type="gramStart"/>
      <w:r w:rsidRPr="00417DF5">
        <w:rPr>
          <w:rFonts w:ascii="PT Astra Serif" w:hAnsi="PT Astra Serif" w:cs="PT Astra Serif"/>
          <w:sz w:val="28"/>
          <w:szCs w:val="28"/>
        </w:rPr>
        <w:t>.»;</w:t>
      </w:r>
      <w:proofErr w:type="gramEnd"/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в) в пункте 2: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абзац четвёртый дополнить словом «общества»;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абзаце шестом слово «показателя» заменить словом «КПЭ»;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г) в пункте 3: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подпункте 3.1: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 xml:space="preserve">в абзаце первом слова «не более 7 единиц» заменить словами </w:t>
      </w:r>
      <w:r>
        <w:rPr>
          <w:rFonts w:ascii="PT Astra Serif" w:hAnsi="PT Astra Serif" w:cs="PT Astra Serif"/>
          <w:sz w:val="28"/>
          <w:szCs w:val="28"/>
        </w:rPr>
        <w:br/>
      </w:r>
      <w:r w:rsidRPr="00417DF5">
        <w:rPr>
          <w:rFonts w:ascii="PT Astra Serif" w:hAnsi="PT Astra Serif" w:cs="PT Astra Serif"/>
          <w:sz w:val="28"/>
          <w:szCs w:val="28"/>
        </w:rPr>
        <w:t>«, не превышающем 7»;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lastRenderedPageBreak/>
        <w:t>таблицу изложить в следующей редакции: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«</w:t>
      </w:r>
      <w:r w:rsidRPr="00417DF5">
        <w:rPr>
          <w:rFonts w:ascii="PT Astra Serif" w:hAnsi="PT Astra Serif" w:cs="PT Astra Serif"/>
          <w:b/>
          <w:sz w:val="28"/>
          <w:szCs w:val="28"/>
        </w:rPr>
        <w:t>ПЕРЕЧЕНЬ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417DF5">
        <w:rPr>
          <w:rFonts w:ascii="PT Astra Serif" w:hAnsi="PT Astra Serif" w:cs="PT Astra Serif"/>
          <w:b/>
          <w:sz w:val="28"/>
          <w:szCs w:val="28"/>
        </w:rPr>
        <w:t>финансово-экономических КПЭ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851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02"/>
        <w:gridCol w:w="4496"/>
        <w:gridCol w:w="1670"/>
        <w:gridCol w:w="434"/>
      </w:tblGrid>
      <w:tr w:rsidR="00417DF5" w:rsidRPr="00417DF5" w:rsidTr="008D11FB">
        <w:tc>
          <w:tcPr>
            <w:tcW w:w="2517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Тип КПЭ</w:t>
            </w: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№</w:t>
            </w: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proofErr w:type="gramStart"/>
            <w:r w:rsidRPr="00417DF5">
              <w:rPr>
                <w:rFonts w:ascii="PT Astra Serif" w:hAnsi="PT Astra Serif" w:cs="PT Astra Serif"/>
                <w:sz w:val="28"/>
                <w:szCs w:val="28"/>
              </w:rPr>
              <w:t>п</w:t>
            </w:r>
            <w:proofErr w:type="gramEnd"/>
            <w:r w:rsidRPr="00417DF5">
              <w:rPr>
                <w:rFonts w:ascii="PT Astra Serif" w:hAnsi="PT Astra Serif" w:cs="PT Astra Serif"/>
                <w:sz w:val="28"/>
                <w:szCs w:val="28"/>
              </w:rPr>
              <w:t>/п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Наименование КПЭ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Вес КПЭ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 w:val="restart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1. Рекомендуемые</w:t>
            </w: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КПЭ</w:t>
            </w: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1.1.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 xml:space="preserve">Уровень рентабельности продаж согласно показателю «Размер прибыли до вычета» 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Не менее 15 процентов</w:t>
            </w: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1.2.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Коэффициент рентабельности инвестированного капитала, коэффициент рентабельности собственного капитала (органами управления общества выбирается один из указанных КПЭ, а также устанавливается его целевое значение)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 w:val="restart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 КПЭ, которые предусматриваются по усмотрению органа управления общества</w:t>
            </w: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2.1.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Динамика значения показателя «Размер прибыли до вычета» (увеличение значения данного КПЭ)</w:t>
            </w:r>
          </w:p>
        </w:tc>
        <w:tc>
          <w:tcPr>
            <w:tcW w:w="1672" w:type="dxa"/>
            <w:vMerge w:val="restart"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На усмотрение органа управления общества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2.2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 xml:space="preserve">Уровень рентабельности согласно показателю «Размер прибыли                   до вычета» (увеличение значения данного КПЭ в сравнении с его средними значениями за три последних года) 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2.3.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Динамика размера удельной выручки (за вычетом нерегулярных составляющих) за год из расчёта              на одного работника общества (увеличение значения данного КПЭ по отношению к предыдущему году)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2.4.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Снижение объёма затрат                            на приобретение товаров (работ, услуг) на единицу производимой продукции (выполняемых работ, оказываемых услуг)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2.5.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Отношение объёма капитальных вложений к величине чистого денежного потока от операционной деятельности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2.6.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 xml:space="preserve">Отношение объёма капитальных </w:t>
            </w:r>
            <w:r w:rsidRPr="00417DF5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вложений к величине начисленной амортизации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 xml:space="preserve">2.7. 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Доля закупок товаров, работ, услуг, осуществлённых конкурентными способами, в общем объёме закупок товаров, работ, услуг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2.8.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Доля непрофильных активов                     в общем объёме активов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417DF5" w:rsidRPr="00417DF5" w:rsidTr="008D11FB">
        <w:tc>
          <w:tcPr>
            <w:tcW w:w="2517" w:type="dxa"/>
            <w:vMerge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04" w:type="dxa"/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2.9.</w:t>
            </w:r>
          </w:p>
        </w:tc>
        <w:tc>
          <w:tcPr>
            <w:tcW w:w="4567" w:type="dxa"/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Дополнительный КПЭ</w:t>
            </w:r>
          </w:p>
        </w:tc>
        <w:tc>
          <w:tcPr>
            <w:tcW w:w="1672" w:type="dxa"/>
            <w:vMerge/>
            <w:tcBorders>
              <w:right w:val="single" w:sz="4" w:space="0" w:color="auto"/>
            </w:tcBorders>
          </w:tcPr>
          <w:p w:rsidR="00417DF5" w:rsidRPr="00417DF5" w:rsidRDefault="00417DF5" w:rsidP="008D11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417DF5" w:rsidRPr="00417DF5" w:rsidRDefault="00417DF5" w:rsidP="008D11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417DF5">
              <w:rPr>
                <w:rFonts w:ascii="PT Astra Serif" w:hAnsi="PT Astra Serif" w:cs="PT Astra Serif"/>
                <w:sz w:val="28"/>
                <w:szCs w:val="28"/>
              </w:rPr>
              <w:t>»;</w:t>
            </w:r>
          </w:p>
        </w:tc>
      </w:tr>
    </w:tbl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 xml:space="preserve">д) в абзаце первом подпункта 3.2 слова «политику государства </w:t>
      </w:r>
      <w:r>
        <w:rPr>
          <w:rFonts w:ascii="PT Astra Serif" w:hAnsi="PT Astra Serif" w:cs="PT Astra Serif"/>
          <w:sz w:val="28"/>
          <w:szCs w:val="28"/>
        </w:rPr>
        <w:br/>
      </w:r>
      <w:r w:rsidRPr="00417DF5">
        <w:rPr>
          <w:rFonts w:ascii="PT Astra Serif" w:hAnsi="PT Astra Serif" w:cs="PT Astra Serif"/>
          <w:sz w:val="28"/>
          <w:szCs w:val="28"/>
        </w:rPr>
        <w:t>в отношении» заменить словами «государственную политику в сфере»;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е) в подпункте 3.3: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 xml:space="preserve">абзац первый после слова «показатели» дополнить словами                                «, используемые для», после слова «общества» дополнить словами «(далее – показатели </w:t>
      </w:r>
      <w:proofErr w:type="spellStart"/>
      <w:r w:rsidRPr="00417DF5">
        <w:rPr>
          <w:rFonts w:ascii="PT Astra Serif" w:hAnsi="PT Astra Serif" w:cs="PT Astra Serif"/>
          <w:sz w:val="28"/>
          <w:szCs w:val="28"/>
        </w:rPr>
        <w:t>депремирования</w:t>
      </w:r>
      <w:proofErr w:type="spellEnd"/>
      <w:r w:rsidRPr="00417DF5">
        <w:rPr>
          <w:rFonts w:ascii="PT Astra Serif" w:hAnsi="PT Astra Serif" w:cs="PT Astra Serif"/>
          <w:sz w:val="28"/>
          <w:szCs w:val="28"/>
        </w:rPr>
        <w:t>)»;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абзаце четвёртом слово «убыток» заменить словами «наличие убытка»;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абзаце шестом слова «заработной плате перед работниками» заменить слова «выплате заработной платы работникам»;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абзац седьмой после слов «общества к» дополнить словом «размеру», слова «налоговых и процентных платежей и» заменить словами «налогов                     и иных обязательных платежей, а также»;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абзаце восьмом слова «значения отношения» заменить словами «размера отношения значения», слова «показателю «Прибыль до вычета» заменить словами «значению показателя «Размер прибыли до вычета»;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в абзаце девятом слова «целевое значение» заменить словами «целевые значения»;</w:t>
      </w:r>
    </w:p>
    <w:p w:rsidR="00417DF5" w:rsidRPr="00417DF5" w:rsidRDefault="00417DF5" w:rsidP="00417DF5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 w:cs="PT Astra Serif"/>
          <w:sz w:val="28"/>
          <w:szCs w:val="28"/>
        </w:rPr>
        <w:t>ж) дополнить подпунктом 3.4 следующего содержания:</w:t>
      </w:r>
      <w:r w:rsidRPr="00417DF5">
        <w:rPr>
          <w:rFonts w:ascii="PT Astra Serif" w:hAnsi="PT Astra Serif"/>
          <w:sz w:val="28"/>
          <w:szCs w:val="28"/>
        </w:rPr>
        <w:t xml:space="preserve"> </w:t>
      </w:r>
    </w:p>
    <w:p w:rsidR="00417DF5" w:rsidRPr="00417DF5" w:rsidRDefault="00417DF5" w:rsidP="00417DF5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417DF5">
        <w:rPr>
          <w:rFonts w:ascii="PT Astra Serif" w:hAnsi="PT Astra Serif"/>
          <w:sz w:val="28"/>
          <w:szCs w:val="28"/>
        </w:rPr>
        <w:t>«3.4. Также рекомендуется</w:t>
      </w:r>
      <w:r w:rsidRPr="00417DF5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устанавливать минимальное значение каждого КПЭ, равное не менее 80 процентов их целевых значений, и предельное значение каждого КПЭ, равное не более 120 процентов их целевых значений, которые учитываются при рассмотрении вопросов выплаты вознаграждения руководящему составу общества. Фактическое достижение значений КПЭ, предусмотренных подпунктом 3.1 пункта 3 настоящих методических рекомендаций, принимает нулевое значение в случае, если оно ниже установленного минимального значения, и предельное значение – в случае, если оно выше установленного предельного значения</w:t>
      </w:r>
      <w:proofErr w:type="gramStart"/>
      <w:r w:rsidRPr="00417DF5">
        <w:rPr>
          <w:rFonts w:ascii="PT Astra Serif" w:eastAsia="Calibri" w:hAnsi="PT Astra Serif" w:cs="PT Astra Serif"/>
          <w:sz w:val="28"/>
          <w:szCs w:val="28"/>
          <w:lang w:eastAsia="en-US"/>
        </w:rPr>
        <w:t>.»;</w:t>
      </w:r>
      <w:proofErr w:type="gramEnd"/>
    </w:p>
    <w:p w:rsidR="00417DF5" w:rsidRPr="00417DF5" w:rsidRDefault="00417DF5" w:rsidP="00417DF5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417DF5">
        <w:rPr>
          <w:rFonts w:ascii="PT Astra Serif" w:eastAsia="Calibri" w:hAnsi="PT Astra Serif" w:cs="PT Astra Serif"/>
          <w:sz w:val="28"/>
          <w:szCs w:val="28"/>
          <w:lang w:eastAsia="en-US"/>
        </w:rPr>
        <w:t>з) в пункте 9 слова «В основу» заменить словом «Для», слова  «закладывать бухгалтерскую (финансовую) отчётность» заменить словами «использовать сведения, содержащиеся в бухгалтерской (финансовой) отчётности общества»;</w:t>
      </w:r>
      <w:proofErr w:type="gramEnd"/>
    </w:p>
    <w:p w:rsidR="00417DF5" w:rsidRPr="00417DF5" w:rsidRDefault="00417DF5" w:rsidP="00417DF5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 w:cs="PT Astra Serif"/>
          <w:sz w:val="28"/>
          <w:szCs w:val="28"/>
          <w:lang w:eastAsia="en-US"/>
        </w:rPr>
      </w:pPr>
      <w:proofErr w:type="gramStart"/>
      <w:r w:rsidRPr="00417DF5">
        <w:rPr>
          <w:rFonts w:ascii="PT Astra Serif" w:eastAsia="Calibri" w:hAnsi="PT Astra Serif" w:cs="PT Astra Serif"/>
          <w:sz w:val="28"/>
          <w:szCs w:val="28"/>
          <w:lang w:eastAsia="en-US"/>
        </w:rPr>
        <w:lastRenderedPageBreak/>
        <w:t xml:space="preserve">и) пункт 10 после слов «достоверности расчётов» дополнить словом «целевых значений», слова «представителей внутреннего и (или) внешнего аудита» заменить словами «лиц, осуществляющих внутренний и (или) внешний аудит». </w:t>
      </w:r>
      <w:proofErr w:type="gramEnd"/>
    </w:p>
    <w:p w:rsidR="00417DF5" w:rsidRPr="00417DF5" w:rsidRDefault="00417DF5" w:rsidP="00417D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17DF5">
        <w:rPr>
          <w:rFonts w:ascii="PT Astra Serif" w:eastAsia="Calibri" w:hAnsi="PT Astra Serif"/>
          <w:sz w:val="28"/>
          <w:szCs w:val="28"/>
          <w:lang w:eastAsia="en-US"/>
        </w:rPr>
        <w:t>2. Настоящее постановление вступает в силу на следующий день после дня его официального опубликования.</w:t>
      </w:r>
    </w:p>
    <w:p w:rsidR="00417DF5" w:rsidRPr="00417DF5" w:rsidRDefault="00417DF5" w:rsidP="00417D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17DF5" w:rsidRPr="00417DF5" w:rsidRDefault="00417DF5" w:rsidP="00417DF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17DF5" w:rsidRPr="00417DF5" w:rsidRDefault="00417DF5" w:rsidP="00417DF5">
      <w:pPr>
        <w:autoSpaceDE w:val="0"/>
        <w:autoSpaceDN w:val="0"/>
        <w:adjustRightInd w:val="0"/>
        <w:spacing w:line="252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417DF5" w:rsidRPr="00417DF5" w:rsidRDefault="00417DF5" w:rsidP="00417DF5">
      <w:pPr>
        <w:spacing w:line="252" w:lineRule="auto"/>
        <w:jc w:val="both"/>
        <w:rPr>
          <w:rFonts w:ascii="PT Astra Serif" w:hAnsi="PT Astra Serif"/>
          <w:bCs/>
          <w:sz w:val="28"/>
          <w:szCs w:val="28"/>
        </w:rPr>
      </w:pPr>
      <w:r w:rsidRPr="00417DF5">
        <w:rPr>
          <w:rFonts w:ascii="PT Astra Serif" w:hAnsi="PT Astra Serif"/>
          <w:bCs/>
          <w:sz w:val="28"/>
          <w:szCs w:val="28"/>
        </w:rPr>
        <w:t xml:space="preserve">Председатель </w:t>
      </w:r>
    </w:p>
    <w:p w:rsidR="00417DF5" w:rsidRPr="00417DF5" w:rsidRDefault="00417DF5" w:rsidP="00417DF5">
      <w:pPr>
        <w:spacing w:line="252" w:lineRule="auto"/>
        <w:jc w:val="both"/>
        <w:rPr>
          <w:rFonts w:ascii="PT Astra Serif" w:hAnsi="PT Astra Serif"/>
          <w:sz w:val="28"/>
          <w:szCs w:val="28"/>
        </w:rPr>
      </w:pPr>
      <w:r w:rsidRPr="00417DF5">
        <w:rPr>
          <w:rFonts w:ascii="PT Astra Serif" w:hAnsi="PT Astra Serif"/>
          <w:bCs/>
          <w:sz w:val="28"/>
          <w:szCs w:val="28"/>
        </w:rPr>
        <w:t xml:space="preserve">Правительства области                                                                         </w:t>
      </w:r>
      <w:proofErr w:type="spellStart"/>
      <w:r w:rsidRPr="00417DF5">
        <w:rPr>
          <w:rFonts w:ascii="PT Astra Serif" w:hAnsi="PT Astra Serif"/>
          <w:bCs/>
          <w:sz w:val="28"/>
          <w:szCs w:val="28"/>
        </w:rPr>
        <w:t>В.Н.Разумков</w:t>
      </w:r>
      <w:proofErr w:type="spellEnd"/>
    </w:p>
    <w:p w:rsidR="000535F7" w:rsidRDefault="000535F7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Pr="005A6E26" w:rsidRDefault="00581A2B" w:rsidP="00581A2B">
      <w:pPr>
        <w:jc w:val="center"/>
        <w:rPr>
          <w:rFonts w:ascii="PT Astra Serif" w:hAnsi="PT Astra Serif"/>
          <w:b/>
          <w:sz w:val="28"/>
          <w:szCs w:val="28"/>
        </w:rPr>
      </w:pPr>
      <w:r w:rsidRPr="005A6E2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81A2B" w:rsidRPr="005A6E26" w:rsidRDefault="00581A2B" w:rsidP="00581A2B">
      <w:pPr>
        <w:jc w:val="center"/>
        <w:rPr>
          <w:rFonts w:ascii="PT Astra Serif" w:hAnsi="PT Astra Serif"/>
          <w:b/>
          <w:sz w:val="28"/>
          <w:szCs w:val="28"/>
        </w:rPr>
      </w:pPr>
      <w:r w:rsidRPr="005A6E26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581A2B" w:rsidRPr="005A6E26" w:rsidRDefault="00581A2B" w:rsidP="00581A2B">
      <w:pPr>
        <w:pStyle w:val="ConsPlusTitle"/>
        <w:jc w:val="center"/>
        <w:rPr>
          <w:rFonts w:ascii="PT Astra Serif" w:hAnsi="PT Astra Serif"/>
          <w:szCs w:val="28"/>
        </w:rPr>
      </w:pPr>
      <w:r w:rsidRPr="005A6E26">
        <w:rPr>
          <w:rFonts w:ascii="PT Astra Serif" w:hAnsi="PT Astra Serif"/>
          <w:szCs w:val="28"/>
        </w:rPr>
        <w:t xml:space="preserve"> «</w:t>
      </w:r>
      <w:r w:rsidRPr="005A6E26">
        <w:rPr>
          <w:rFonts w:ascii="PT Astra Serif" w:hAnsi="PT Astra Serif"/>
          <w:bCs/>
          <w:szCs w:val="28"/>
        </w:rPr>
        <w:t xml:space="preserve">О внесении изменений в постановление Правительства Ульяновской </w:t>
      </w:r>
      <w:r w:rsidRPr="005A6E26">
        <w:rPr>
          <w:rFonts w:ascii="PT Astra Serif" w:hAnsi="PT Astra Serif"/>
          <w:bCs/>
          <w:szCs w:val="28"/>
        </w:rPr>
        <w:br/>
        <w:t>о</w:t>
      </w:r>
      <w:r w:rsidRPr="005A6E26">
        <w:rPr>
          <w:rFonts w:ascii="PT Astra Serif" w:hAnsi="PT Astra Serif"/>
          <w:bCs/>
          <w:szCs w:val="28"/>
        </w:rPr>
        <w:t>б</w:t>
      </w:r>
      <w:r w:rsidRPr="005A6E26">
        <w:rPr>
          <w:rFonts w:ascii="PT Astra Serif" w:hAnsi="PT Astra Serif"/>
          <w:bCs/>
          <w:szCs w:val="28"/>
        </w:rPr>
        <w:t>ласти от 27.12.2019 № 784-П</w:t>
      </w:r>
      <w:r w:rsidRPr="005A6E26">
        <w:rPr>
          <w:rFonts w:ascii="PT Astra Serif" w:hAnsi="PT Astra Serif"/>
          <w:szCs w:val="28"/>
        </w:rPr>
        <w:t>»</w:t>
      </w:r>
    </w:p>
    <w:p w:rsidR="00581A2B" w:rsidRPr="005A6E26" w:rsidRDefault="00581A2B" w:rsidP="00581A2B">
      <w:pPr>
        <w:jc w:val="center"/>
        <w:rPr>
          <w:rFonts w:ascii="PT Astra Serif" w:hAnsi="PT Astra Serif"/>
          <w:sz w:val="28"/>
          <w:szCs w:val="28"/>
        </w:rPr>
      </w:pPr>
    </w:p>
    <w:p w:rsidR="00581A2B" w:rsidRPr="005A6E26" w:rsidRDefault="00581A2B" w:rsidP="00581A2B">
      <w:pPr>
        <w:jc w:val="both"/>
        <w:rPr>
          <w:rFonts w:ascii="PT Astra Serif" w:hAnsi="PT Astra Serif"/>
          <w:sz w:val="28"/>
          <w:szCs w:val="28"/>
        </w:rPr>
      </w:pPr>
      <w:r w:rsidRPr="005A6E26">
        <w:rPr>
          <w:rFonts w:ascii="PT Astra Serif" w:hAnsi="PT Astra Serif"/>
          <w:sz w:val="28"/>
          <w:szCs w:val="28"/>
        </w:rPr>
        <w:tab/>
        <w:t xml:space="preserve">Настоящий проект постановления разработан в целях повышения </w:t>
      </w:r>
      <w:r w:rsidRPr="005A6E26">
        <w:rPr>
          <w:rFonts w:ascii="PT Astra Serif" w:hAnsi="PT Astra Serif"/>
          <w:sz w:val="28"/>
          <w:szCs w:val="28"/>
        </w:rPr>
        <w:br/>
        <w:t>мот</w:t>
      </w:r>
      <w:r w:rsidRPr="005A6E26">
        <w:rPr>
          <w:rFonts w:ascii="PT Astra Serif" w:hAnsi="PT Astra Serif"/>
          <w:sz w:val="28"/>
          <w:szCs w:val="28"/>
        </w:rPr>
        <w:t>и</w:t>
      </w:r>
      <w:r w:rsidRPr="005A6E26">
        <w:rPr>
          <w:rFonts w:ascii="PT Astra Serif" w:hAnsi="PT Astra Serif"/>
          <w:sz w:val="28"/>
          <w:szCs w:val="28"/>
        </w:rPr>
        <w:t xml:space="preserve">вации единоличных исполнительных органов хозяйственных обществ, </w:t>
      </w:r>
      <w:r w:rsidRPr="005A6E26">
        <w:rPr>
          <w:rFonts w:ascii="PT Astra Serif" w:hAnsi="PT Astra Serif"/>
          <w:sz w:val="28"/>
          <w:szCs w:val="28"/>
        </w:rPr>
        <w:br/>
        <w:t>в уставном капитале которых доля участия Ульяновской области превышает пятьдесят процентов (д</w:t>
      </w:r>
      <w:r w:rsidRPr="005A6E26">
        <w:rPr>
          <w:rFonts w:ascii="PT Astra Serif" w:hAnsi="PT Astra Serif"/>
          <w:sz w:val="28"/>
          <w:szCs w:val="28"/>
        </w:rPr>
        <w:t>а</w:t>
      </w:r>
      <w:r w:rsidRPr="005A6E26">
        <w:rPr>
          <w:rFonts w:ascii="PT Astra Serif" w:hAnsi="PT Astra Serif"/>
          <w:sz w:val="28"/>
          <w:szCs w:val="28"/>
        </w:rPr>
        <w:t xml:space="preserve">лее – Общества). </w:t>
      </w:r>
    </w:p>
    <w:p w:rsidR="00581A2B" w:rsidRPr="005A6E26" w:rsidRDefault="00581A2B" w:rsidP="00581A2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E26">
        <w:rPr>
          <w:rFonts w:ascii="PT Astra Serif" w:hAnsi="PT Astra Serif"/>
          <w:sz w:val="28"/>
          <w:szCs w:val="28"/>
        </w:rPr>
        <w:t xml:space="preserve">Проектом постановления предусмотрено 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установить минимальное знач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ние каждого КПЭ, равное не менее чем 80 процентам их целевых значений, и предельное значение каждого ключевого показателя эффективности, равное не более чем 120 процентам их целевых значений, каждого отраслевого КПЭ, к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о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торые учитываются при рассмотрении вопросов выплаты вознаграждения р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у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ководящему составу общества, при этом фактически достигнутое значение ключевых показателей эффективности и отраслевых КПЭ для оценки достиж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ния</w:t>
      </w:r>
      <w:proofErr w:type="gramEnd"/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ключевых показателей эффективности и финансово-экономических КПЭ, предусмотренных подпунктом 3.1 пункта 3 настоящих методических рекоме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н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даций, принимает нулевое значение в случае, если оно ниже установленного минимального значения, и предельное значение - в случае, если 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оно выше уст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а</w:t>
      </w:r>
      <w:r w:rsidRPr="005A6E26">
        <w:rPr>
          <w:rFonts w:ascii="PT Astra Serif" w:eastAsia="Calibri" w:hAnsi="PT Astra Serif" w:cs="PT Astra Serif"/>
          <w:sz w:val="28"/>
          <w:szCs w:val="28"/>
          <w:lang w:eastAsia="en-US"/>
        </w:rPr>
        <w:t>новленного предельного значения</w:t>
      </w:r>
      <w:r w:rsidRPr="005A6E26">
        <w:rPr>
          <w:rFonts w:ascii="PT Astra Serif" w:hAnsi="PT Astra Serif"/>
          <w:sz w:val="28"/>
          <w:szCs w:val="28"/>
        </w:rPr>
        <w:t>.</w:t>
      </w:r>
    </w:p>
    <w:p w:rsidR="00581A2B" w:rsidRPr="005A6E26" w:rsidRDefault="00581A2B" w:rsidP="00581A2B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5A6E26">
        <w:rPr>
          <w:rFonts w:ascii="PT Astra Serif" w:hAnsi="PT Astra Serif"/>
          <w:b w:val="0"/>
          <w:szCs w:val="28"/>
        </w:rPr>
        <w:t xml:space="preserve">Принятие постановления Правительства Ульяновской области </w:t>
      </w:r>
      <w:r w:rsidRPr="005A6E26">
        <w:rPr>
          <w:rFonts w:ascii="PT Astra Serif" w:hAnsi="PT Astra Serif"/>
          <w:b w:val="0"/>
          <w:szCs w:val="28"/>
        </w:rPr>
        <w:br/>
        <w:t>«</w:t>
      </w:r>
      <w:r w:rsidRPr="005A6E26">
        <w:rPr>
          <w:rFonts w:ascii="PT Astra Serif" w:hAnsi="PT Astra Serif"/>
          <w:b w:val="0"/>
          <w:bCs/>
          <w:szCs w:val="28"/>
        </w:rPr>
        <w:t xml:space="preserve">О внесении изменения в постановление Правительства Ульяновской </w:t>
      </w:r>
      <w:r w:rsidRPr="005A6E26">
        <w:rPr>
          <w:rFonts w:ascii="PT Astra Serif" w:hAnsi="PT Astra Serif"/>
          <w:b w:val="0"/>
          <w:bCs/>
          <w:szCs w:val="28"/>
        </w:rPr>
        <w:br/>
        <w:t>области от 27.12.2019 № 784-П</w:t>
      </w:r>
      <w:r w:rsidRPr="005A6E26">
        <w:rPr>
          <w:rFonts w:ascii="PT Astra Serif" w:hAnsi="PT Astra Serif"/>
          <w:b w:val="0"/>
          <w:szCs w:val="28"/>
        </w:rPr>
        <w:t>» не повлечёт за собой отрицательных социал</w:t>
      </w:r>
      <w:r w:rsidRPr="005A6E26">
        <w:rPr>
          <w:rFonts w:ascii="PT Astra Serif" w:hAnsi="PT Astra Serif"/>
          <w:b w:val="0"/>
          <w:szCs w:val="28"/>
        </w:rPr>
        <w:t>ь</w:t>
      </w:r>
      <w:r w:rsidRPr="005A6E26">
        <w:rPr>
          <w:rFonts w:ascii="PT Astra Serif" w:hAnsi="PT Astra Serif"/>
          <w:b w:val="0"/>
          <w:szCs w:val="28"/>
        </w:rPr>
        <w:t xml:space="preserve">но-экономических последствий. </w:t>
      </w:r>
    </w:p>
    <w:p w:rsidR="00581A2B" w:rsidRPr="005A6E26" w:rsidRDefault="00581A2B" w:rsidP="00581A2B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A6E26">
        <w:rPr>
          <w:rFonts w:ascii="PT Astra Serif" w:hAnsi="PT Astra Serif"/>
          <w:sz w:val="28"/>
          <w:szCs w:val="28"/>
        </w:rPr>
        <w:t>Поскольку положения проекта не затрагивают вопросы осуществления пре</w:t>
      </w:r>
      <w:r w:rsidRPr="005A6E26">
        <w:rPr>
          <w:rFonts w:ascii="PT Astra Serif" w:hAnsi="PT Astra Serif"/>
          <w:sz w:val="28"/>
          <w:szCs w:val="28"/>
        </w:rPr>
        <w:t>д</w:t>
      </w:r>
      <w:r w:rsidRPr="005A6E26">
        <w:rPr>
          <w:rFonts w:ascii="PT Astra Serif" w:hAnsi="PT Astra Serif"/>
          <w:sz w:val="28"/>
          <w:szCs w:val="28"/>
        </w:rPr>
        <w:t xml:space="preserve">принимательской и инвестиционной деятельности проведение </w:t>
      </w:r>
      <w:r w:rsidRPr="005A6E26">
        <w:rPr>
          <w:rFonts w:ascii="PT Astra Serif" w:hAnsi="PT Astra Serif"/>
          <w:sz w:val="28"/>
          <w:szCs w:val="28"/>
        </w:rPr>
        <w:br/>
        <w:t>в отношении проекта постановления оценки регулирующего воздействия</w:t>
      </w:r>
      <w:r w:rsidRPr="005A6E26">
        <w:rPr>
          <w:rFonts w:ascii="PT Astra Serif" w:hAnsi="PT Astra Serif"/>
          <w:sz w:val="28"/>
          <w:szCs w:val="28"/>
        </w:rPr>
        <w:br/>
        <w:t>в соответствии с Законом Ульяновской области от 05.11.2013 № 201-ЗО</w:t>
      </w:r>
      <w:r w:rsidRPr="005A6E26">
        <w:rPr>
          <w:rFonts w:ascii="PT Astra Serif" w:hAnsi="PT Astra Serif"/>
          <w:sz w:val="28"/>
          <w:szCs w:val="28"/>
        </w:rPr>
        <w:br/>
        <w:t xml:space="preserve"> «О порядке проведения оценки регулирующего воздействия проектов </w:t>
      </w:r>
      <w:r w:rsidRPr="005A6E26">
        <w:rPr>
          <w:rFonts w:ascii="PT Astra Serif" w:hAnsi="PT Astra Serif"/>
          <w:sz w:val="28"/>
          <w:szCs w:val="28"/>
        </w:rPr>
        <w:br/>
        <w:t>нормативных правовых актов Ульяновской области и проектов муниципальных но</w:t>
      </w:r>
      <w:r w:rsidRPr="005A6E26">
        <w:rPr>
          <w:rFonts w:ascii="PT Astra Serif" w:hAnsi="PT Astra Serif"/>
          <w:sz w:val="28"/>
          <w:szCs w:val="28"/>
        </w:rPr>
        <w:t>р</w:t>
      </w:r>
      <w:r w:rsidRPr="005A6E26">
        <w:rPr>
          <w:rFonts w:ascii="PT Astra Serif" w:hAnsi="PT Astra Serif"/>
          <w:sz w:val="28"/>
          <w:szCs w:val="28"/>
        </w:rPr>
        <w:t xml:space="preserve">мативных правовых актов, затрагивающих вопросы осуществления </w:t>
      </w:r>
      <w:r w:rsidRPr="005A6E26">
        <w:rPr>
          <w:rFonts w:ascii="PT Astra Serif" w:hAnsi="PT Astra Serif"/>
          <w:sz w:val="28"/>
          <w:szCs w:val="28"/>
        </w:rPr>
        <w:br/>
        <w:t>предпринимательской и инвестиционной деятельности, и порядке проведения экспе</w:t>
      </w:r>
      <w:r w:rsidRPr="005A6E26">
        <w:rPr>
          <w:rFonts w:ascii="PT Astra Serif" w:hAnsi="PT Astra Serif"/>
          <w:sz w:val="28"/>
          <w:szCs w:val="28"/>
        </w:rPr>
        <w:t>р</w:t>
      </w:r>
      <w:r w:rsidRPr="005A6E26">
        <w:rPr>
          <w:rFonts w:ascii="PT Astra Serif" w:hAnsi="PT Astra Serif"/>
          <w:sz w:val="28"/>
          <w:szCs w:val="28"/>
        </w:rPr>
        <w:t>тизы нормативных правовых актов</w:t>
      </w:r>
      <w:proofErr w:type="gramEnd"/>
      <w:r w:rsidRPr="005A6E26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5A6E26">
        <w:rPr>
          <w:rFonts w:ascii="PT Astra Serif" w:hAnsi="PT Astra Serif"/>
          <w:sz w:val="28"/>
          <w:szCs w:val="28"/>
        </w:rPr>
        <w:br/>
        <w:t xml:space="preserve">и муниципальных нормативных правовых актов, затрагивающих вопросы </w:t>
      </w:r>
      <w:r w:rsidRPr="005A6E26">
        <w:rPr>
          <w:rFonts w:ascii="PT Astra Serif" w:hAnsi="PT Astra Serif"/>
          <w:sz w:val="28"/>
          <w:szCs w:val="28"/>
        </w:rPr>
        <w:br/>
        <w:t xml:space="preserve">осуществления предпринимательской и инвестиционной деятельности» </w:t>
      </w:r>
      <w:r w:rsidRPr="005A6E26">
        <w:rPr>
          <w:rFonts w:ascii="PT Astra Serif" w:hAnsi="PT Astra Serif"/>
          <w:sz w:val="28"/>
          <w:szCs w:val="28"/>
        </w:rPr>
        <w:br/>
        <w:t>не тр</w:t>
      </w:r>
      <w:r w:rsidRPr="005A6E26">
        <w:rPr>
          <w:rFonts w:ascii="PT Astra Serif" w:hAnsi="PT Astra Serif"/>
          <w:sz w:val="28"/>
          <w:szCs w:val="28"/>
        </w:rPr>
        <w:t>е</w:t>
      </w:r>
      <w:r w:rsidRPr="005A6E26">
        <w:rPr>
          <w:rFonts w:ascii="PT Astra Serif" w:hAnsi="PT Astra Serif"/>
          <w:sz w:val="28"/>
          <w:szCs w:val="28"/>
        </w:rPr>
        <w:t>буется.</w:t>
      </w:r>
    </w:p>
    <w:p w:rsidR="00581A2B" w:rsidRPr="005A6E26" w:rsidRDefault="00581A2B" w:rsidP="00581A2B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6E26">
        <w:rPr>
          <w:rFonts w:ascii="PT Astra Serif" w:hAnsi="PT Astra Serif"/>
          <w:sz w:val="28"/>
          <w:szCs w:val="28"/>
        </w:rPr>
        <w:t xml:space="preserve">В соответствии с постановлением Губернатора Ульяновской области </w:t>
      </w:r>
      <w:r w:rsidRPr="005A6E26">
        <w:rPr>
          <w:rFonts w:ascii="PT Astra Serif" w:hAnsi="PT Astra Serif"/>
          <w:sz w:val="28"/>
          <w:szCs w:val="28"/>
        </w:rPr>
        <w:br/>
        <w:t>от 03.10.2011 № 100 «О порядке проведения антикоррупционной экспертизы норм</w:t>
      </w:r>
      <w:r w:rsidRPr="005A6E26">
        <w:rPr>
          <w:rFonts w:ascii="PT Astra Serif" w:hAnsi="PT Astra Serif"/>
          <w:sz w:val="28"/>
          <w:szCs w:val="28"/>
        </w:rPr>
        <w:t>а</w:t>
      </w:r>
      <w:r w:rsidRPr="005A6E26">
        <w:rPr>
          <w:rFonts w:ascii="PT Astra Serif" w:hAnsi="PT Astra Serif"/>
          <w:sz w:val="28"/>
          <w:szCs w:val="28"/>
        </w:rPr>
        <w:t xml:space="preserve">тивных правовых актов и проектов нормативных правовых актов </w:t>
      </w:r>
      <w:r w:rsidRPr="005A6E26">
        <w:rPr>
          <w:rFonts w:ascii="PT Astra Serif" w:hAnsi="PT Astra Serif"/>
          <w:sz w:val="28"/>
          <w:szCs w:val="28"/>
        </w:rPr>
        <w:br/>
        <w:t>Губе</w:t>
      </w:r>
      <w:r w:rsidRPr="005A6E26">
        <w:rPr>
          <w:rFonts w:ascii="PT Astra Serif" w:hAnsi="PT Astra Serif"/>
          <w:sz w:val="28"/>
          <w:szCs w:val="28"/>
        </w:rPr>
        <w:t>р</w:t>
      </w:r>
      <w:r w:rsidRPr="005A6E26">
        <w:rPr>
          <w:rFonts w:ascii="PT Astra Serif" w:hAnsi="PT Astra Serif"/>
          <w:sz w:val="28"/>
          <w:szCs w:val="28"/>
        </w:rPr>
        <w:t xml:space="preserve">натора Ульяновской области и Правительства Ульяновской области» </w:t>
      </w:r>
      <w:r w:rsidRPr="005A6E26">
        <w:rPr>
          <w:rFonts w:ascii="PT Astra Serif" w:hAnsi="PT Astra Serif"/>
          <w:sz w:val="28"/>
          <w:szCs w:val="28"/>
        </w:rPr>
        <w:br/>
        <w:t xml:space="preserve">в отношении проекта постановления Правительства Ульяновской области </w:t>
      </w:r>
      <w:r w:rsidRPr="005A6E26">
        <w:rPr>
          <w:rFonts w:ascii="PT Astra Serif" w:hAnsi="PT Astra Serif"/>
          <w:sz w:val="28"/>
          <w:szCs w:val="28"/>
        </w:rPr>
        <w:br/>
        <w:t>пр</w:t>
      </w:r>
      <w:r w:rsidRPr="005A6E26">
        <w:rPr>
          <w:rFonts w:ascii="PT Astra Serif" w:hAnsi="PT Astra Serif"/>
          <w:sz w:val="28"/>
          <w:szCs w:val="28"/>
        </w:rPr>
        <w:t>о</w:t>
      </w:r>
      <w:r w:rsidRPr="005A6E26">
        <w:rPr>
          <w:rFonts w:ascii="PT Astra Serif" w:hAnsi="PT Astra Serif"/>
          <w:sz w:val="28"/>
          <w:szCs w:val="28"/>
        </w:rPr>
        <w:t xml:space="preserve">ведена антикоррупционная экспертиза. </w:t>
      </w:r>
      <w:proofErr w:type="spellStart"/>
      <w:r w:rsidRPr="005A6E26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5A6E26">
        <w:rPr>
          <w:rFonts w:ascii="PT Astra Serif" w:hAnsi="PT Astra Serif"/>
          <w:sz w:val="28"/>
          <w:szCs w:val="28"/>
        </w:rPr>
        <w:t xml:space="preserve"> факторов </w:t>
      </w:r>
      <w:r w:rsidRPr="005A6E26">
        <w:rPr>
          <w:rFonts w:ascii="PT Astra Serif" w:hAnsi="PT Astra Serif"/>
          <w:sz w:val="28"/>
          <w:szCs w:val="28"/>
        </w:rPr>
        <w:br/>
        <w:t>не выявлено.</w:t>
      </w:r>
    </w:p>
    <w:p w:rsidR="00581A2B" w:rsidRPr="005A6E26" w:rsidRDefault="00581A2B" w:rsidP="00581A2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A6E26">
        <w:rPr>
          <w:rFonts w:ascii="PT Astra Serif" w:hAnsi="PT Astra Serif"/>
          <w:sz w:val="28"/>
          <w:szCs w:val="28"/>
        </w:rPr>
        <w:lastRenderedPageBreak/>
        <w:t xml:space="preserve">Проект постановления подготовлен главным консультантом </w:t>
      </w:r>
      <w:proofErr w:type="gramStart"/>
      <w:r w:rsidRPr="005A6E26">
        <w:rPr>
          <w:rFonts w:ascii="PT Astra Serif" w:hAnsi="PT Astra Serif"/>
          <w:sz w:val="28"/>
          <w:szCs w:val="28"/>
        </w:rPr>
        <w:t xml:space="preserve">отдела </w:t>
      </w:r>
      <w:r w:rsidRPr="005A6E26">
        <w:rPr>
          <w:rFonts w:ascii="PT Astra Serif" w:hAnsi="PT Astra Serif"/>
          <w:sz w:val="28"/>
          <w:szCs w:val="28"/>
        </w:rPr>
        <w:br/>
        <w:t xml:space="preserve">корпоративного сопровождения организаций департамента имущественных </w:t>
      </w:r>
      <w:r w:rsidRPr="005A6E26">
        <w:rPr>
          <w:rFonts w:ascii="PT Astra Serif" w:hAnsi="PT Astra Serif"/>
          <w:sz w:val="28"/>
          <w:szCs w:val="28"/>
        </w:rPr>
        <w:br/>
        <w:t>отношений</w:t>
      </w:r>
      <w:proofErr w:type="gramEnd"/>
      <w:r w:rsidRPr="005A6E26">
        <w:rPr>
          <w:rFonts w:ascii="PT Astra Serif" w:hAnsi="PT Astra Serif"/>
          <w:sz w:val="28"/>
          <w:szCs w:val="28"/>
        </w:rPr>
        <w:t xml:space="preserve"> и корпоративного сопровождения организаций Министерства </w:t>
      </w:r>
      <w:r w:rsidRPr="005A6E26">
        <w:rPr>
          <w:rFonts w:ascii="PT Astra Serif" w:hAnsi="PT Astra Serif"/>
          <w:sz w:val="28"/>
          <w:szCs w:val="28"/>
        </w:rPr>
        <w:br/>
        <w:t>имущественных отношений и архитектуры Ульяновской области Софьичевой Све</w:t>
      </w:r>
      <w:r w:rsidRPr="005A6E26">
        <w:rPr>
          <w:rFonts w:ascii="PT Astra Serif" w:hAnsi="PT Astra Serif"/>
          <w:sz w:val="28"/>
          <w:szCs w:val="28"/>
        </w:rPr>
        <w:t>т</w:t>
      </w:r>
      <w:r w:rsidRPr="005A6E26">
        <w:rPr>
          <w:rFonts w:ascii="PT Astra Serif" w:hAnsi="PT Astra Serif"/>
          <w:sz w:val="28"/>
          <w:szCs w:val="28"/>
        </w:rPr>
        <w:t>ланой Олеговной.</w:t>
      </w:r>
    </w:p>
    <w:p w:rsidR="00581A2B" w:rsidRPr="005A6E26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5A6E26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5A6E26" w:rsidRDefault="00581A2B" w:rsidP="00581A2B">
      <w:pPr>
        <w:jc w:val="both"/>
        <w:rPr>
          <w:rFonts w:ascii="PT Astra Serif" w:hAnsi="PT Astra Serif"/>
          <w:b/>
          <w:sz w:val="28"/>
          <w:szCs w:val="28"/>
        </w:rPr>
      </w:pPr>
      <w:r w:rsidRPr="005A6E26">
        <w:rPr>
          <w:rFonts w:ascii="PT Astra Serif" w:hAnsi="PT Astra Serif"/>
          <w:b/>
          <w:sz w:val="28"/>
          <w:szCs w:val="28"/>
        </w:rPr>
        <w:t xml:space="preserve">Министр                                                                                                     </w:t>
      </w:r>
      <w:proofErr w:type="spellStart"/>
      <w:r w:rsidRPr="005A6E26">
        <w:rPr>
          <w:rFonts w:ascii="PT Astra Serif" w:hAnsi="PT Astra Serif"/>
          <w:b/>
          <w:sz w:val="28"/>
          <w:szCs w:val="28"/>
        </w:rPr>
        <w:t>М.В.Додин</w:t>
      </w:r>
      <w:proofErr w:type="spellEnd"/>
      <w:r w:rsidRPr="005A6E26">
        <w:rPr>
          <w:rFonts w:ascii="PT Astra Serif" w:hAnsi="PT Astra Serif"/>
          <w:b/>
          <w:sz w:val="28"/>
          <w:szCs w:val="28"/>
        </w:rPr>
        <w:t xml:space="preserve">  </w:t>
      </w: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581A2B" w:rsidRPr="006B2C6D" w:rsidRDefault="00581A2B" w:rsidP="00581A2B">
      <w:pPr>
        <w:pStyle w:val="ConsTitle"/>
        <w:widowControl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6B2C6D">
        <w:rPr>
          <w:rFonts w:ascii="PT Astra Serif" w:hAnsi="PT Astra Serif" w:cs="Times New Roman"/>
          <w:sz w:val="28"/>
          <w:szCs w:val="28"/>
        </w:rPr>
        <w:lastRenderedPageBreak/>
        <w:t xml:space="preserve">ФИНАНСОВО-ЭКОНОМИЧЕСКОЕ ОБОСНОВАНИЕ </w:t>
      </w:r>
    </w:p>
    <w:p w:rsidR="00581A2B" w:rsidRPr="0006647A" w:rsidRDefault="00581A2B" w:rsidP="00581A2B">
      <w:pPr>
        <w:pStyle w:val="ConsPlusTitle"/>
        <w:jc w:val="center"/>
        <w:rPr>
          <w:rFonts w:ascii="PT Astra Serif" w:hAnsi="PT Astra Serif"/>
          <w:szCs w:val="28"/>
        </w:rPr>
      </w:pPr>
      <w:r w:rsidRPr="00AC47DC">
        <w:rPr>
          <w:rFonts w:ascii="PT Astra Serif" w:hAnsi="PT Astra Serif"/>
          <w:szCs w:val="28"/>
        </w:rPr>
        <w:t>«</w:t>
      </w:r>
      <w:r>
        <w:rPr>
          <w:rFonts w:ascii="PT Astra Serif" w:hAnsi="PT Astra Serif"/>
          <w:szCs w:val="28"/>
        </w:rPr>
        <w:t>О внесении изменения</w:t>
      </w:r>
      <w:r>
        <w:rPr>
          <w:rFonts w:ascii="PT Astra Serif" w:hAnsi="PT Astra Serif"/>
          <w:bCs/>
          <w:szCs w:val="28"/>
        </w:rPr>
        <w:t xml:space="preserve"> </w:t>
      </w:r>
      <w:r>
        <w:rPr>
          <w:rFonts w:ascii="PT Astra Serif" w:hAnsi="PT Astra Serif"/>
          <w:szCs w:val="28"/>
        </w:rPr>
        <w:t>в п</w:t>
      </w:r>
      <w:r w:rsidRPr="00C50D18">
        <w:rPr>
          <w:rFonts w:ascii="PT Astra Serif" w:hAnsi="PT Astra Serif"/>
          <w:szCs w:val="28"/>
        </w:rPr>
        <w:t xml:space="preserve">остановление Правительства Ульяновской </w:t>
      </w:r>
      <w:r>
        <w:rPr>
          <w:rFonts w:ascii="PT Astra Serif" w:hAnsi="PT Astra Serif"/>
          <w:bCs/>
          <w:szCs w:val="28"/>
        </w:rPr>
        <w:br/>
      </w:r>
      <w:r w:rsidRPr="00C50D18">
        <w:rPr>
          <w:rFonts w:ascii="PT Astra Serif" w:hAnsi="PT Astra Serif"/>
          <w:szCs w:val="28"/>
        </w:rPr>
        <w:t>о</w:t>
      </w:r>
      <w:r w:rsidRPr="00C50D18">
        <w:rPr>
          <w:rFonts w:ascii="PT Astra Serif" w:hAnsi="PT Astra Serif"/>
          <w:szCs w:val="28"/>
        </w:rPr>
        <w:t>б</w:t>
      </w:r>
      <w:r w:rsidRPr="00C50D18">
        <w:rPr>
          <w:rFonts w:ascii="PT Astra Serif" w:hAnsi="PT Astra Serif"/>
          <w:szCs w:val="28"/>
        </w:rPr>
        <w:t xml:space="preserve">ласти от 27.12.2019 </w:t>
      </w:r>
      <w:r>
        <w:rPr>
          <w:rFonts w:ascii="PT Astra Serif" w:hAnsi="PT Astra Serif"/>
          <w:szCs w:val="28"/>
        </w:rPr>
        <w:t>№</w:t>
      </w:r>
      <w:r w:rsidRPr="00C50D18">
        <w:rPr>
          <w:rFonts w:ascii="PT Astra Serif" w:hAnsi="PT Astra Serif"/>
          <w:szCs w:val="28"/>
        </w:rPr>
        <w:t xml:space="preserve"> 784-П</w:t>
      </w:r>
      <w:r w:rsidRPr="00AC47DC">
        <w:rPr>
          <w:rFonts w:ascii="PT Astra Serif" w:hAnsi="PT Astra Serif"/>
          <w:szCs w:val="28"/>
        </w:rPr>
        <w:t>»</w:t>
      </w:r>
    </w:p>
    <w:p w:rsidR="00581A2B" w:rsidRPr="006B2C6D" w:rsidRDefault="00581A2B" w:rsidP="00581A2B">
      <w:pPr>
        <w:pStyle w:val="ConsTitle"/>
        <w:widowControl/>
        <w:ind w:right="0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581A2B" w:rsidRPr="00981D67" w:rsidRDefault="00581A2B" w:rsidP="00581A2B">
      <w:pPr>
        <w:pStyle w:val="ConsPlusTitle"/>
        <w:ind w:firstLine="709"/>
        <w:jc w:val="both"/>
        <w:rPr>
          <w:rFonts w:ascii="PT Astra Serif" w:hAnsi="PT Astra Serif"/>
          <w:b w:val="0"/>
          <w:szCs w:val="28"/>
        </w:rPr>
      </w:pPr>
      <w:r w:rsidRPr="006B2C6D">
        <w:rPr>
          <w:rFonts w:ascii="PT Astra Serif" w:hAnsi="PT Astra Serif"/>
          <w:b w:val="0"/>
          <w:szCs w:val="28"/>
        </w:rPr>
        <w:t xml:space="preserve">Принятие </w:t>
      </w:r>
      <w:r>
        <w:rPr>
          <w:rFonts w:ascii="PT Astra Serif" w:hAnsi="PT Astra Serif"/>
          <w:b w:val="0"/>
          <w:szCs w:val="28"/>
        </w:rPr>
        <w:t>постановления</w:t>
      </w:r>
      <w:r w:rsidRPr="006B2C6D">
        <w:rPr>
          <w:rFonts w:ascii="PT Astra Serif" w:hAnsi="PT Astra Serif"/>
          <w:b w:val="0"/>
          <w:szCs w:val="28"/>
        </w:rPr>
        <w:t xml:space="preserve"> Правительства Ульяновской области </w:t>
      </w:r>
      <w:r w:rsidRPr="006B2C6D">
        <w:rPr>
          <w:rFonts w:ascii="PT Astra Serif" w:hAnsi="PT Astra Serif"/>
          <w:b w:val="0"/>
          <w:szCs w:val="28"/>
        </w:rPr>
        <w:br/>
        <w:t>«</w:t>
      </w:r>
      <w:r w:rsidRPr="00641C1C">
        <w:rPr>
          <w:rFonts w:ascii="PT Astra Serif" w:hAnsi="PT Astra Serif"/>
          <w:b w:val="0"/>
          <w:szCs w:val="28"/>
        </w:rPr>
        <w:t>О внесении изменения</w:t>
      </w:r>
      <w:r w:rsidRPr="00641C1C">
        <w:rPr>
          <w:rFonts w:ascii="PT Astra Serif" w:hAnsi="PT Astra Serif"/>
          <w:b w:val="0"/>
          <w:bCs/>
          <w:szCs w:val="28"/>
        </w:rPr>
        <w:t xml:space="preserve"> </w:t>
      </w:r>
      <w:r w:rsidRPr="00641C1C">
        <w:rPr>
          <w:rFonts w:ascii="PT Astra Serif" w:hAnsi="PT Astra Serif"/>
          <w:b w:val="0"/>
          <w:szCs w:val="28"/>
        </w:rPr>
        <w:t xml:space="preserve">в постановление Правительства Ульяновской </w:t>
      </w:r>
      <w:r w:rsidRPr="00641C1C">
        <w:rPr>
          <w:rFonts w:ascii="PT Astra Serif" w:hAnsi="PT Astra Serif"/>
          <w:b w:val="0"/>
          <w:bCs/>
          <w:szCs w:val="28"/>
        </w:rPr>
        <w:br/>
      </w:r>
      <w:r w:rsidRPr="00641C1C">
        <w:rPr>
          <w:rFonts w:ascii="PT Astra Serif" w:hAnsi="PT Astra Serif"/>
          <w:b w:val="0"/>
          <w:szCs w:val="28"/>
        </w:rPr>
        <w:t>о</w:t>
      </w:r>
      <w:r w:rsidRPr="00641C1C">
        <w:rPr>
          <w:rFonts w:ascii="PT Astra Serif" w:hAnsi="PT Astra Serif"/>
          <w:b w:val="0"/>
          <w:szCs w:val="28"/>
        </w:rPr>
        <w:t>б</w:t>
      </w:r>
      <w:r w:rsidRPr="00641C1C">
        <w:rPr>
          <w:rFonts w:ascii="PT Astra Serif" w:hAnsi="PT Astra Serif"/>
          <w:b w:val="0"/>
          <w:szCs w:val="28"/>
        </w:rPr>
        <w:t>ласти от 27.12.2019 № 784-П</w:t>
      </w:r>
      <w:r w:rsidRPr="00981D67">
        <w:rPr>
          <w:rFonts w:ascii="PT Astra Serif" w:hAnsi="PT Astra Serif"/>
          <w:b w:val="0"/>
          <w:szCs w:val="28"/>
        </w:rPr>
        <w:t>» дополнительного финансирования из областного бюджета Ульяновской области не потр</w:t>
      </w:r>
      <w:r w:rsidRPr="00981D67">
        <w:rPr>
          <w:rFonts w:ascii="PT Astra Serif" w:hAnsi="PT Astra Serif"/>
          <w:b w:val="0"/>
          <w:szCs w:val="28"/>
        </w:rPr>
        <w:t>е</w:t>
      </w:r>
      <w:r w:rsidRPr="00981D67">
        <w:rPr>
          <w:rFonts w:ascii="PT Astra Serif" w:hAnsi="PT Astra Serif"/>
          <w:b w:val="0"/>
          <w:szCs w:val="28"/>
        </w:rPr>
        <w:t>бует.</w:t>
      </w: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  <w:r w:rsidRPr="006B2C6D">
        <w:rPr>
          <w:rFonts w:ascii="PT Astra Serif" w:hAnsi="PT Astra Serif"/>
          <w:sz w:val="28"/>
          <w:szCs w:val="28"/>
        </w:rPr>
        <w:tab/>
      </w: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629"/>
        <w:gridCol w:w="3118"/>
      </w:tblGrid>
      <w:tr w:rsidR="00581A2B" w:rsidRPr="006B2C6D" w:rsidTr="00A341B7">
        <w:tc>
          <w:tcPr>
            <w:tcW w:w="6629" w:type="dxa"/>
            <w:shd w:val="clear" w:color="auto" w:fill="auto"/>
          </w:tcPr>
          <w:p w:rsidR="00581A2B" w:rsidRPr="006B2C6D" w:rsidRDefault="00581A2B" w:rsidP="00A341B7">
            <w:pPr>
              <w:rPr>
                <w:rFonts w:ascii="PT Astra Serif" w:hAnsi="PT Astra Serif"/>
                <w:sz w:val="28"/>
                <w:szCs w:val="28"/>
              </w:rPr>
            </w:pPr>
            <w:r w:rsidRPr="006B2C6D">
              <w:rPr>
                <w:rFonts w:ascii="PT Astra Serif" w:hAnsi="PT Astra Serif"/>
                <w:sz w:val="28"/>
                <w:szCs w:val="28"/>
              </w:rPr>
              <w:t xml:space="preserve">Министр </w:t>
            </w:r>
          </w:p>
          <w:p w:rsidR="00581A2B" w:rsidRPr="006B2C6D" w:rsidRDefault="00581A2B" w:rsidP="00A341B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81A2B" w:rsidRPr="006B2C6D" w:rsidRDefault="00581A2B" w:rsidP="00A341B7">
            <w:pPr>
              <w:ind w:right="-108"/>
              <w:jc w:val="right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М.В.Додин</w:t>
            </w:r>
            <w:proofErr w:type="spellEnd"/>
            <w:r w:rsidRPr="006B2C6D">
              <w:rPr>
                <w:rFonts w:ascii="PT Astra Serif" w:hAnsi="PT Astra Serif"/>
                <w:sz w:val="28"/>
                <w:szCs w:val="28"/>
              </w:rPr>
              <w:t xml:space="preserve">            </w:t>
            </w:r>
          </w:p>
        </w:tc>
      </w:tr>
    </w:tbl>
    <w:p w:rsidR="00581A2B" w:rsidRPr="006B2C6D" w:rsidRDefault="00581A2B" w:rsidP="00581A2B">
      <w:pPr>
        <w:jc w:val="both"/>
        <w:rPr>
          <w:rFonts w:ascii="PT Astra Serif" w:hAnsi="PT Astra Serif"/>
          <w:b/>
          <w:sz w:val="28"/>
          <w:szCs w:val="28"/>
        </w:rPr>
      </w:pP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6B2C6D" w:rsidRDefault="00581A2B" w:rsidP="00581A2B">
      <w:pPr>
        <w:rPr>
          <w:rFonts w:ascii="PT Astra Serif" w:hAnsi="PT Astra Serif"/>
          <w:sz w:val="28"/>
          <w:szCs w:val="28"/>
        </w:rPr>
      </w:pPr>
    </w:p>
    <w:p w:rsidR="00581A2B" w:rsidRPr="00417DF5" w:rsidRDefault="00581A2B" w:rsidP="00417DF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sectPr w:rsidR="00581A2B" w:rsidRPr="00417DF5" w:rsidSect="00C16CD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F8" w:rsidRDefault="004876F8" w:rsidP="00C16CDA">
      <w:r>
        <w:separator/>
      </w:r>
    </w:p>
  </w:endnote>
  <w:endnote w:type="continuationSeparator" w:id="0">
    <w:p w:rsidR="004876F8" w:rsidRDefault="004876F8" w:rsidP="00C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F8" w:rsidRDefault="004876F8" w:rsidP="00C16CDA">
      <w:r>
        <w:separator/>
      </w:r>
    </w:p>
  </w:footnote>
  <w:footnote w:type="continuationSeparator" w:id="0">
    <w:p w:rsidR="004876F8" w:rsidRDefault="004876F8" w:rsidP="00C1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D20C5"/>
    <w:multiLevelType w:val="singleLevel"/>
    <w:tmpl w:val="BDEA5286"/>
    <w:lvl w:ilvl="0">
      <w:start w:val="2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">
    <w:nsid w:val="391F17BC"/>
    <w:multiLevelType w:val="singleLevel"/>
    <w:tmpl w:val="6018FD80"/>
    <w:lvl w:ilvl="0">
      <w:start w:val="3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411D29D5"/>
    <w:multiLevelType w:val="singleLevel"/>
    <w:tmpl w:val="0C28D810"/>
    <w:lvl w:ilvl="0">
      <w:start w:val="7"/>
      <w:numFmt w:val="decimal"/>
      <w:lvlText w:val="1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3">
    <w:nsid w:val="4A393135"/>
    <w:multiLevelType w:val="singleLevel"/>
    <w:tmpl w:val="D6564294"/>
    <w:lvl w:ilvl="0">
      <w:start w:val="2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4">
    <w:nsid w:val="70233F91"/>
    <w:multiLevelType w:val="singleLevel"/>
    <w:tmpl w:val="A10E251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CD"/>
    <w:rsid w:val="000009E2"/>
    <w:rsid w:val="00003CF0"/>
    <w:rsid w:val="00004C96"/>
    <w:rsid w:val="000073F6"/>
    <w:rsid w:val="00007403"/>
    <w:rsid w:val="0001485F"/>
    <w:rsid w:val="00021C5D"/>
    <w:rsid w:val="000239F3"/>
    <w:rsid w:val="00023B5F"/>
    <w:rsid w:val="00026416"/>
    <w:rsid w:val="00026C01"/>
    <w:rsid w:val="000320E5"/>
    <w:rsid w:val="000346EF"/>
    <w:rsid w:val="00042061"/>
    <w:rsid w:val="00047F9F"/>
    <w:rsid w:val="0005007F"/>
    <w:rsid w:val="00050DCD"/>
    <w:rsid w:val="000535F7"/>
    <w:rsid w:val="00057CB2"/>
    <w:rsid w:val="00060AFE"/>
    <w:rsid w:val="000646FE"/>
    <w:rsid w:val="00065302"/>
    <w:rsid w:val="00067875"/>
    <w:rsid w:val="00070EA6"/>
    <w:rsid w:val="00074EAA"/>
    <w:rsid w:val="000755F9"/>
    <w:rsid w:val="00082A13"/>
    <w:rsid w:val="00082F90"/>
    <w:rsid w:val="00086939"/>
    <w:rsid w:val="00087A3C"/>
    <w:rsid w:val="00091B44"/>
    <w:rsid w:val="00092DD6"/>
    <w:rsid w:val="000A4E0C"/>
    <w:rsid w:val="000A5248"/>
    <w:rsid w:val="000A5E9E"/>
    <w:rsid w:val="000A6B7D"/>
    <w:rsid w:val="000A6CC1"/>
    <w:rsid w:val="000A751D"/>
    <w:rsid w:val="000C2B1E"/>
    <w:rsid w:val="000C3623"/>
    <w:rsid w:val="000C68F3"/>
    <w:rsid w:val="000E1C91"/>
    <w:rsid w:val="000E4DAA"/>
    <w:rsid w:val="000F0B5C"/>
    <w:rsid w:val="000F64FF"/>
    <w:rsid w:val="000F6629"/>
    <w:rsid w:val="000F7F7C"/>
    <w:rsid w:val="00102AEC"/>
    <w:rsid w:val="0010432F"/>
    <w:rsid w:val="00104F90"/>
    <w:rsid w:val="00112C51"/>
    <w:rsid w:val="00112CF3"/>
    <w:rsid w:val="00113959"/>
    <w:rsid w:val="00117596"/>
    <w:rsid w:val="001235AE"/>
    <w:rsid w:val="0013065E"/>
    <w:rsid w:val="00130754"/>
    <w:rsid w:val="00131B0F"/>
    <w:rsid w:val="00132586"/>
    <w:rsid w:val="001326F2"/>
    <w:rsid w:val="00142FDA"/>
    <w:rsid w:val="00143405"/>
    <w:rsid w:val="00147D94"/>
    <w:rsid w:val="00150B09"/>
    <w:rsid w:val="00150B39"/>
    <w:rsid w:val="001541AA"/>
    <w:rsid w:val="001551B9"/>
    <w:rsid w:val="00156F2A"/>
    <w:rsid w:val="00166849"/>
    <w:rsid w:val="00171FD0"/>
    <w:rsid w:val="00177867"/>
    <w:rsid w:val="0018293B"/>
    <w:rsid w:val="00187576"/>
    <w:rsid w:val="00190647"/>
    <w:rsid w:val="00191AE8"/>
    <w:rsid w:val="0019774B"/>
    <w:rsid w:val="001A5646"/>
    <w:rsid w:val="001B4588"/>
    <w:rsid w:val="001B6D20"/>
    <w:rsid w:val="001C658A"/>
    <w:rsid w:val="001D190C"/>
    <w:rsid w:val="001E4FC7"/>
    <w:rsid w:val="001F0798"/>
    <w:rsid w:val="001F0C88"/>
    <w:rsid w:val="001F2CEF"/>
    <w:rsid w:val="001F39DF"/>
    <w:rsid w:val="001F6017"/>
    <w:rsid w:val="001F6553"/>
    <w:rsid w:val="0020063A"/>
    <w:rsid w:val="00210185"/>
    <w:rsid w:val="002145FE"/>
    <w:rsid w:val="0021541A"/>
    <w:rsid w:val="00217813"/>
    <w:rsid w:val="00222B70"/>
    <w:rsid w:val="00230638"/>
    <w:rsid w:val="002360D3"/>
    <w:rsid w:val="002361E0"/>
    <w:rsid w:val="00237C47"/>
    <w:rsid w:val="00237F2B"/>
    <w:rsid w:val="002405CE"/>
    <w:rsid w:val="00251997"/>
    <w:rsid w:val="00260DC7"/>
    <w:rsid w:val="00264B8C"/>
    <w:rsid w:val="00270A4A"/>
    <w:rsid w:val="002716F1"/>
    <w:rsid w:val="00281607"/>
    <w:rsid w:val="00282694"/>
    <w:rsid w:val="002864D5"/>
    <w:rsid w:val="00290F95"/>
    <w:rsid w:val="002928D4"/>
    <w:rsid w:val="0029419F"/>
    <w:rsid w:val="002A0606"/>
    <w:rsid w:val="002A1A97"/>
    <w:rsid w:val="002B041C"/>
    <w:rsid w:val="002B0A6A"/>
    <w:rsid w:val="002B118E"/>
    <w:rsid w:val="002B4005"/>
    <w:rsid w:val="002B4AC9"/>
    <w:rsid w:val="002B761A"/>
    <w:rsid w:val="002C08D6"/>
    <w:rsid w:val="002C0CD9"/>
    <w:rsid w:val="002C3617"/>
    <w:rsid w:val="002C3C7D"/>
    <w:rsid w:val="002C401B"/>
    <w:rsid w:val="002C7591"/>
    <w:rsid w:val="002E2D2F"/>
    <w:rsid w:val="002F5B22"/>
    <w:rsid w:val="002F6AE4"/>
    <w:rsid w:val="002F71C4"/>
    <w:rsid w:val="003037C0"/>
    <w:rsid w:val="00307889"/>
    <w:rsid w:val="00315039"/>
    <w:rsid w:val="00323D23"/>
    <w:rsid w:val="00326EA4"/>
    <w:rsid w:val="00333128"/>
    <w:rsid w:val="00342CB7"/>
    <w:rsid w:val="0034572C"/>
    <w:rsid w:val="003549AE"/>
    <w:rsid w:val="00356A0B"/>
    <w:rsid w:val="00361AB3"/>
    <w:rsid w:val="00375166"/>
    <w:rsid w:val="0037588B"/>
    <w:rsid w:val="003811F5"/>
    <w:rsid w:val="0038127A"/>
    <w:rsid w:val="00386388"/>
    <w:rsid w:val="00386BDE"/>
    <w:rsid w:val="00386C76"/>
    <w:rsid w:val="00386DC3"/>
    <w:rsid w:val="00391D86"/>
    <w:rsid w:val="00396129"/>
    <w:rsid w:val="00397D24"/>
    <w:rsid w:val="003A62BF"/>
    <w:rsid w:val="003B48AA"/>
    <w:rsid w:val="003C02CB"/>
    <w:rsid w:val="003D0434"/>
    <w:rsid w:val="003D7446"/>
    <w:rsid w:val="003E240A"/>
    <w:rsid w:val="003E4EDF"/>
    <w:rsid w:val="003E52C3"/>
    <w:rsid w:val="003E7087"/>
    <w:rsid w:val="003F06CF"/>
    <w:rsid w:val="003F22B6"/>
    <w:rsid w:val="003F3749"/>
    <w:rsid w:val="004001FF"/>
    <w:rsid w:val="00400A60"/>
    <w:rsid w:val="004013FB"/>
    <w:rsid w:val="004016E5"/>
    <w:rsid w:val="00401C95"/>
    <w:rsid w:val="00405E53"/>
    <w:rsid w:val="00410F91"/>
    <w:rsid w:val="0041399C"/>
    <w:rsid w:val="00417DE5"/>
    <w:rsid w:val="00417DF5"/>
    <w:rsid w:val="004227C7"/>
    <w:rsid w:val="00424C52"/>
    <w:rsid w:val="00425115"/>
    <w:rsid w:val="00426598"/>
    <w:rsid w:val="00431FC1"/>
    <w:rsid w:val="00445879"/>
    <w:rsid w:val="0044594D"/>
    <w:rsid w:val="004462EA"/>
    <w:rsid w:val="00452C27"/>
    <w:rsid w:val="00453A90"/>
    <w:rsid w:val="00454456"/>
    <w:rsid w:val="0046019A"/>
    <w:rsid w:val="00460D79"/>
    <w:rsid w:val="00461DDF"/>
    <w:rsid w:val="00463670"/>
    <w:rsid w:val="0047572C"/>
    <w:rsid w:val="00476D38"/>
    <w:rsid w:val="00487253"/>
    <w:rsid w:val="004876F8"/>
    <w:rsid w:val="00490FEB"/>
    <w:rsid w:val="00492374"/>
    <w:rsid w:val="0049312F"/>
    <w:rsid w:val="00495D38"/>
    <w:rsid w:val="004A3547"/>
    <w:rsid w:val="004A6D99"/>
    <w:rsid w:val="004B413F"/>
    <w:rsid w:val="004B431B"/>
    <w:rsid w:val="004B750D"/>
    <w:rsid w:val="004C019A"/>
    <w:rsid w:val="004C0E76"/>
    <w:rsid w:val="004C1654"/>
    <w:rsid w:val="004C32E6"/>
    <w:rsid w:val="004D4C19"/>
    <w:rsid w:val="004D7934"/>
    <w:rsid w:val="004E4743"/>
    <w:rsid w:val="004E5B44"/>
    <w:rsid w:val="004F215D"/>
    <w:rsid w:val="004F2269"/>
    <w:rsid w:val="004F2F18"/>
    <w:rsid w:val="004F5F93"/>
    <w:rsid w:val="004F7351"/>
    <w:rsid w:val="004F7F21"/>
    <w:rsid w:val="0050558A"/>
    <w:rsid w:val="0051312F"/>
    <w:rsid w:val="005133C1"/>
    <w:rsid w:val="005262A9"/>
    <w:rsid w:val="00527E1A"/>
    <w:rsid w:val="00530BFB"/>
    <w:rsid w:val="005408EE"/>
    <w:rsid w:val="005431E2"/>
    <w:rsid w:val="005468A1"/>
    <w:rsid w:val="005527F1"/>
    <w:rsid w:val="005623EA"/>
    <w:rsid w:val="0056268E"/>
    <w:rsid w:val="005626BC"/>
    <w:rsid w:val="005633E0"/>
    <w:rsid w:val="005639A7"/>
    <w:rsid w:val="00563F4D"/>
    <w:rsid w:val="00564C73"/>
    <w:rsid w:val="00566E7B"/>
    <w:rsid w:val="0057305E"/>
    <w:rsid w:val="0057374C"/>
    <w:rsid w:val="00576E2A"/>
    <w:rsid w:val="00581A2B"/>
    <w:rsid w:val="00593029"/>
    <w:rsid w:val="005956EB"/>
    <w:rsid w:val="00595B1E"/>
    <w:rsid w:val="005A2200"/>
    <w:rsid w:val="005A41DD"/>
    <w:rsid w:val="005A7C3D"/>
    <w:rsid w:val="005B377C"/>
    <w:rsid w:val="005B5D78"/>
    <w:rsid w:val="005C18AE"/>
    <w:rsid w:val="005C1C15"/>
    <w:rsid w:val="005C5845"/>
    <w:rsid w:val="005D617D"/>
    <w:rsid w:val="005E2E61"/>
    <w:rsid w:val="005F1424"/>
    <w:rsid w:val="005F1A18"/>
    <w:rsid w:val="005F6AC3"/>
    <w:rsid w:val="00601339"/>
    <w:rsid w:val="0060587D"/>
    <w:rsid w:val="00610F4F"/>
    <w:rsid w:val="00611AD7"/>
    <w:rsid w:val="0061324E"/>
    <w:rsid w:val="006169FB"/>
    <w:rsid w:val="00616BED"/>
    <w:rsid w:val="00624FFC"/>
    <w:rsid w:val="006316E3"/>
    <w:rsid w:val="0063301F"/>
    <w:rsid w:val="00640D53"/>
    <w:rsid w:val="006428CC"/>
    <w:rsid w:val="006507B3"/>
    <w:rsid w:val="00650DA0"/>
    <w:rsid w:val="0065486A"/>
    <w:rsid w:val="0066405D"/>
    <w:rsid w:val="006640FA"/>
    <w:rsid w:val="006648C5"/>
    <w:rsid w:val="00667B21"/>
    <w:rsid w:val="00674F27"/>
    <w:rsid w:val="00677BC0"/>
    <w:rsid w:val="0068314A"/>
    <w:rsid w:val="006921D9"/>
    <w:rsid w:val="00693761"/>
    <w:rsid w:val="00693F71"/>
    <w:rsid w:val="00694629"/>
    <w:rsid w:val="00695DE8"/>
    <w:rsid w:val="006B29C6"/>
    <w:rsid w:val="006B2F11"/>
    <w:rsid w:val="006B42AE"/>
    <w:rsid w:val="006C2A2B"/>
    <w:rsid w:val="006C3CF9"/>
    <w:rsid w:val="006C5085"/>
    <w:rsid w:val="006C753A"/>
    <w:rsid w:val="006C7BFC"/>
    <w:rsid w:val="006D02A4"/>
    <w:rsid w:val="006E371A"/>
    <w:rsid w:val="006E3B85"/>
    <w:rsid w:val="006E3C9F"/>
    <w:rsid w:val="006E4DEC"/>
    <w:rsid w:val="006E525E"/>
    <w:rsid w:val="006F10C4"/>
    <w:rsid w:val="006F46BD"/>
    <w:rsid w:val="006F7DD5"/>
    <w:rsid w:val="0070124C"/>
    <w:rsid w:val="007029C4"/>
    <w:rsid w:val="00704F68"/>
    <w:rsid w:val="007054B5"/>
    <w:rsid w:val="00705B26"/>
    <w:rsid w:val="00706616"/>
    <w:rsid w:val="00710FAD"/>
    <w:rsid w:val="007209FF"/>
    <w:rsid w:val="00720E7D"/>
    <w:rsid w:val="007249B1"/>
    <w:rsid w:val="007258C5"/>
    <w:rsid w:val="00726B91"/>
    <w:rsid w:val="0073337A"/>
    <w:rsid w:val="00735423"/>
    <w:rsid w:val="0073729D"/>
    <w:rsid w:val="007405D0"/>
    <w:rsid w:val="00740A00"/>
    <w:rsid w:val="00740ABE"/>
    <w:rsid w:val="00741176"/>
    <w:rsid w:val="00742142"/>
    <w:rsid w:val="00742E75"/>
    <w:rsid w:val="007430E8"/>
    <w:rsid w:val="00744F71"/>
    <w:rsid w:val="007450C0"/>
    <w:rsid w:val="007755E8"/>
    <w:rsid w:val="0077605A"/>
    <w:rsid w:val="0077613F"/>
    <w:rsid w:val="00797DE7"/>
    <w:rsid w:val="007A720F"/>
    <w:rsid w:val="007B6F40"/>
    <w:rsid w:val="007C14B9"/>
    <w:rsid w:val="007C5D2F"/>
    <w:rsid w:val="007D2D29"/>
    <w:rsid w:val="007D3992"/>
    <w:rsid w:val="007E15CC"/>
    <w:rsid w:val="007E38D6"/>
    <w:rsid w:val="007E5BB5"/>
    <w:rsid w:val="007E7484"/>
    <w:rsid w:val="007E7B9D"/>
    <w:rsid w:val="007F2796"/>
    <w:rsid w:val="008047B7"/>
    <w:rsid w:val="00810347"/>
    <w:rsid w:val="00810EE6"/>
    <w:rsid w:val="00822931"/>
    <w:rsid w:val="00823F62"/>
    <w:rsid w:val="008241EE"/>
    <w:rsid w:val="00824F0B"/>
    <w:rsid w:val="00825369"/>
    <w:rsid w:val="008309C7"/>
    <w:rsid w:val="00840B2B"/>
    <w:rsid w:val="008422BB"/>
    <w:rsid w:val="0084338F"/>
    <w:rsid w:val="00843599"/>
    <w:rsid w:val="0086440E"/>
    <w:rsid w:val="008665A9"/>
    <w:rsid w:val="00867299"/>
    <w:rsid w:val="00876644"/>
    <w:rsid w:val="008831A6"/>
    <w:rsid w:val="00885238"/>
    <w:rsid w:val="0088771C"/>
    <w:rsid w:val="008955EC"/>
    <w:rsid w:val="00896213"/>
    <w:rsid w:val="00897592"/>
    <w:rsid w:val="008A2519"/>
    <w:rsid w:val="008A3525"/>
    <w:rsid w:val="008B065F"/>
    <w:rsid w:val="008C2638"/>
    <w:rsid w:val="008C4E07"/>
    <w:rsid w:val="008D11CE"/>
    <w:rsid w:val="008D3B0F"/>
    <w:rsid w:val="008D78CA"/>
    <w:rsid w:val="008E0C54"/>
    <w:rsid w:val="008E2D32"/>
    <w:rsid w:val="008F0906"/>
    <w:rsid w:val="008F7582"/>
    <w:rsid w:val="0090114E"/>
    <w:rsid w:val="0090197F"/>
    <w:rsid w:val="00902E95"/>
    <w:rsid w:val="00906B18"/>
    <w:rsid w:val="00906C38"/>
    <w:rsid w:val="00907061"/>
    <w:rsid w:val="0091308D"/>
    <w:rsid w:val="00924237"/>
    <w:rsid w:val="0092550F"/>
    <w:rsid w:val="00930DBA"/>
    <w:rsid w:val="00932479"/>
    <w:rsid w:val="00932502"/>
    <w:rsid w:val="00935183"/>
    <w:rsid w:val="00935298"/>
    <w:rsid w:val="00935625"/>
    <w:rsid w:val="00935C7D"/>
    <w:rsid w:val="00940B11"/>
    <w:rsid w:val="00942257"/>
    <w:rsid w:val="00942853"/>
    <w:rsid w:val="00944E07"/>
    <w:rsid w:val="00952BC0"/>
    <w:rsid w:val="0095693C"/>
    <w:rsid w:val="00960334"/>
    <w:rsid w:val="00963043"/>
    <w:rsid w:val="00965456"/>
    <w:rsid w:val="00966B7C"/>
    <w:rsid w:val="009679DF"/>
    <w:rsid w:val="00972B05"/>
    <w:rsid w:val="00972F45"/>
    <w:rsid w:val="00973758"/>
    <w:rsid w:val="00975836"/>
    <w:rsid w:val="0098136D"/>
    <w:rsid w:val="0098378C"/>
    <w:rsid w:val="00996AF2"/>
    <w:rsid w:val="009A4881"/>
    <w:rsid w:val="009A6304"/>
    <w:rsid w:val="009C3008"/>
    <w:rsid w:val="009C3EC7"/>
    <w:rsid w:val="009C5677"/>
    <w:rsid w:val="009C7C6E"/>
    <w:rsid w:val="009D2EB6"/>
    <w:rsid w:val="009D4CF4"/>
    <w:rsid w:val="009D4ED6"/>
    <w:rsid w:val="009D60CA"/>
    <w:rsid w:val="009D62A6"/>
    <w:rsid w:val="009E1D09"/>
    <w:rsid w:val="009E5ABD"/>
    <w:rsid w:val="009E5F6D"/>
    <w:rsid w:val="009E71FF"/>
    <w:rsid w:val="009E7D8B"/>
    <w:rsid w:val="009F28BF"/>
    <w:rsid w:val="009F2FC2"/>
    <w:rsid w:val="00A033EA"/>
    <w:rsid w:val="00A066C9"/>
    <w:rsid w:val="00A06F37"/>
    <w:rsid w:val="00A16295"/>
    <w:rsid w:val="00A21388"/>
    <w:rsid w:val="00A21C3D"/>
    <w:rsid w:val="00A2373B"/>
    <w:rsid w:val="00A31E08"/>
    <w:rsid w:val="00A328A4"/>
    <w:rsid w:val="00A33D0D"/>
    <w:rsid w:val="00A362EB"/>
    <w:rsid w:val="00A406CD"/>
    <w:rsid w:val="00A45C0A"/>
    <w:rsid w:val="00A51165"/>
    <w:rsid w:val="00A51E03"/>
    <w:rsid w:val="00A55A62"/>
    <w:rsid w:val="00A70D1A"/>
    <w:rsid w:val="00A724D9"/>
    <w:rsid w:val="00A729B0"/>
    <w:rsid w:val="00A73F8C"/>
    <w:rsid w:val="00A82648"/>
    <w:rsid w:val="00A833D2"/>
    <w:rsid w:val="00AA16F2"/>
    <w:rsid w:val="00AB1A13"/>
    <w:rsid w:val="00AB6594"/>
    <w:rsid w:val="00AC5A55"/>
    <w:rsid w:val="00AC6744"/>
    <w:rsid w:val="00AC6A67"/>
    <w:rsid w:val="00AC7576"/>
    <w:rsid w:val="00AD27E5"/>
    <w:rsid w:val="00AD6D27"/>
    <w:rsid w:val="00AE47CC"/>
    <w:rsid w:val="00AE50C7"/>
    <w:rsid w:val="00AE707A"/>
    <w:rsid w:val="00AE7B1A"/>
    <w:rsid w:val="00AF1174"/>
    <w:rsid w:val="00B007A7"/>
    <w:rsid w:val="00B00EE2"/>
    <w:rsid w:val="00B02825"/>
    <w:rsid w:val="00B04FDD"/>
    <w:rsid w:val="00B05928"/>
    <w:rsid w:val="00B0708C"/>
    <w:rsid w:val="00B07282"/>
    <w:rsid w:val="00B10E87"/>
    <w:rsid w:val="00B16FBA"/>
    <w:rsid w:val="00B22EF6"/>
    <w:rsid w:val="00B2420A"/>
    <w:rsid w:val="00B272A0"/>
    <w:rsid w:val="00B272A6"/>
    <w:rsid w:val="00B34AE3"/>
    <w:rsid w:val="00B35A15"/>
    <w:rsid w:val="00B43A39"/>
    <w:rsid w:val="00B456E9"/>
    <w:rsid w:val="00B459E2"/>
    <w:rsid w:val="00B47D5A"/>
    <w:rsid w:val="00B5011D"/>
    <w:rsid w:val="00B578FE"/>
    <w:rsid w:val="00B62859"/>
    <w:rsid w:val="00B656F2"/>
    <w:rsid w:val="00B66E52"/>
    <w:rsid w:val="00B67980"/>
    <w:rsid w:val="00B750D1"/>
    <w:rsid w:val="00B754E3"/>
    <w:rsid w:val="00B814FB"/>
    <w:rsid w:val="00B8177F"/>
    <w:rsid w:val="00B82633"/>
    <w:rsid w:val="00B90BDE"/>
    <w:rsid w:val="00B92441"/>
    <w:rsid w:val="00BA3EA8"/>
    <w:rsid w:val="00BA78E0"/>
    <w:rsid w:val="00BA7FC3"/>
    <w:rsid w:val="00BB0EE6"/>
    <w:rsid w:val="00BB0FC4"/>
    <w:rsid w:val="00BB287A"/>
    <w:rsid w:val="00BB312D"/>
    <w:rsid w:val="00BB363D"/>
    <w:rsid w:val="00BB5713"/>
    <w:rsid w:val="00BC427E"/>
    <w:rsid w:val="00BC50E4"/>
    <w:rsid w:val="00BD1C96"/>
    <w:rsid w:val="00BD45F8"/>
    <w:rsid w:val="00BE3314"/>
    <w:rsid w:val="00BE42A6"/>
    <w:rsid w:val="00BE5EEB"/>
    <w:rsid w:val="00BF39A4"/>
    <w:rsid w:val="00C030F6"/>
    <w:rsid w:val="00C07627"/>
    <w:rsid w:val="00C10BCA"/>
    <w:rsid w:val="00C1109F"/>
    <w:rsid w:val="00C16CDA"/>
    <w:rsid w:val="00C20F9E"/>
    <w:rsid w:val="00C21D57"/>
    <w:rsid w:val="00C229F1"/>
    <w:rsid w:val="00C26614"/>
    <w:rsid w:val="00C32A1F"/>
    <w:rsid w:val="00C35513"/>
    <w:rsid w:val="00C3748B"/>
    <w:rsid w:val="00C47CCA"/>
    <w:rsid w:val="00C50D18"/>
    <w:rsid w:val="00C524B8"/>
    <w:rsid w:val="00C63518"/>
    <w:rsid w:val="00C66DCD"/>
    <w:rsid w:val="00C765EA"/>
    <w:rsid w:val="00C86D90"/>
    <w:rsid w:val="00C9191D"/>
    <w:rsid w:val="00C9267B"/>
    <w:rsid w:val="00C94776"/>
    <w:rsid w:val="00C96157"/>
    <w:rsid w:val="00C96A7E"/>
    <w:rsid w:val="00CA1366"/>
    <w:rsid w:val="00CA1F09"/>
    <w:rsid w:val="00CA3477"/>
    <w:rsid w:val="00CA45BE"/>
    <w:rsid w:val="00CB1AA1"/>
    <w:rsid w:val="00CC1BD6"/>
    <w:rsid w:val="00CC1C61"/>
    <w:rsid w:val="00CD3137"/>
    <w:rsid w:val="00CD36F3"/>
    <w:rsid w:val="00CD40BA"/>
    <w:rsid w:val="00CD4DA0"/>
    <w:rsid w:val="00CE0330"/>
    <w:rsid w:val="00CE1DCA"/>
    <w:rsid w:val="00CE54FD"/>
    <w:rsid w:val="00CE57BF"/>
    <w:rsid w:val="00CE72CB"/>
    <w:rsid w:val="00CF040D"/>
    <w:rsid w:val="00CF2B34"/>
    <w:rsid w:val="00D024F6"/>
    <w:rsid w:val="00D04DE9"/>
    <w:rsid w:val="00D07F86"/>
    <w:rsid w:val="00D1164B"/>
    <w:rsid w:val="00D122D5"/>
    <w:rsid w:val="00D20CBF"/>
    <w:rsid w:val="00D23EF9"/>
    <w:rsid w:val="00D276F2"/>
    <w:rsid w:val="00D27C27"/>
    <w:rsid w:val="00D30814"/>
    <w:rsid w:val="00D466C6"/>
    <w:rsid w:val="00D534E2"/>
    <w:rsid w:val="00D563E8"/>
    <w:rsid w:val="00D619F3"/>
    <w:rsid w:val="00D639C5"/>
    <w:rsid w:val="00D652D2"/>
    <w:rsid w:val="00D711D0"/>
    <w:rsid w:val="00D72723"/>
    <w:rsid w:val="00D727AB"/>
    <w:rsid w:val="00D72FBC"/>
    <w:rsid w:val="00D73F69"/>
    <w:rsid w:val="00D8104F"/>
    <w:rsid w:val="00D81AC7"/>
    <w:rsid w:val="00D94756"/>
    <w:rsid w:val="00DA1E23"/>
    <w:rsid w:val="00DA2171"/>
    <w:rsid w:val="00DA2479"/>
    <w:rsid w:val="00DA7E1D"/>
    <w:rsid w:val="00DB4BD9"/>
    <w:rsid w:val="00DC1558"/>
    <w:rsid w:val="00DC5FB9"/>
    <w:rsid w:val="00DD0A5F"/>
    <w:rsid w:val="00DD1E17"/>
    <w:rsid w:val="00DE2BC6"/>
    <w:rsid w:val="00DE334F"/>
    <w:rsid w:val="00DE500C"/>
    <w:rsid w:val="00DF07C3"/>
    <w:rsid w:val="00DF2F9A"/>
    <w:rsid w:val="00DF33F2"/>
    <w:rsid w:val="00DF50D4"/>
    <w:rsid w:val="00E03069"/>
    <w:rsid w:val="00E06300"/>
    <w:rsid w:val="00E07243"/>
    <w:rsid w:val="00E072DD"/>
    <w:rsid w:val="00E07C83"/>
    <w:rsid w:val="00E161FD"/>
    <w:rsid w:val="00E215E0"/>
    <w:rsid w:val="00E229AF"/>
    <w:rsid w:val="00E3242F"/>
    <w:rsid w:val="00E33E0D"/>
    <w:rsid w:val="00E348C6"/>
    <w:rsid w:val="00E40A88"/>
    <w:rsid w:val="00E40F23"/>
    <w:rsid w:val="00E41330"/>
    <w:rsid w:val="00E413C0"/>
    <w:rsid w:val="00E445C8"/>
    <w:rsid w:val="00E4559A"/>
    <w:rsid w:val="00E47325"/>
    <w:rsid w:val="00E50F23"/>
    <w:rsid w:val="00E53FA8"/>
    <w:rsid w:val="00E60137"/>
    <w:rsid w:val="00E65523"/>
    <w:rsid w:val="00E72D33"/>
    <w:rsid w:val="00E7483C"/>
    <w:rsid w:val="00E75A36"/>
    <w:rsid w:val="00E7622E"/>
    <w:rsid w:val="00E820BB"/>
    <w:rsid w:val="00E82CA1"/>
    <w:rsid w:val="00E87F6C"/>
    <w:rsid w:val="00E911F3"/>
    <w:rsid w:val="00E94B06"/>
    <w:rsid w:val="00E95DEE"/>
    <w:rsid w:val="00E96D14"/>
    <w:rsid w:val="00EA2DCB"/>
    <w:rsid w:val="00EA3295"/>
    <w:rsid w:val="00EA3F10"/>
    <w:rsid w:val="00EA502A"/>
    <w:rsid w:val="00EA7FEF"/>
    <w:rsid w:val="00EB2049"/>
    <w:rsid w:val="00EB6180"/>
    <w:rsid w:val="00EC13D6"/>
    <w:rsid w:val="00EC1DAF"/>
    <w:rsid w:val="00EC2B67"/>
    <w:rsid w:val="00ED20FD"/>
    <w:rsid w:val="00ED587E"/>
    <w:rsid w:val="00EE1B06"/>
    <w:rsid w:val="00EE7C87"/>
    <w:rsid w:val="00EF1F81"/>
    <w:rsid w:val="00EF26C9"/>
    <w:rsid w:val="00EF283D"/>
    <w:rsid w:val="00F00B2B"/>
    <w:rsid w:val="00F03AAA"/>
    <w:rsid w:val="00F07FF4"/>
    <w:rsid w:val="00F14335"/>
    <w:rsid w:val="00F17222"/>
    <w:rsid w:val="00F21CF2"/>
    <w:rsid w:val="00F3296B"/>
    <w:rsid w:val="00F33351"/>
    <w:rsid w:val="00F41987"/>
    <w:rsid w:val="00F44579"/>
    <w:rsid w:val="00F52358"/>
    <w:rsid w:val="00F52B07"/>
    <w:rsid w:val="00F562CC"/>
    <w:rsid w:val="00F579C6"/>
    <w:rsid w:val="00F6069F"/>
    <w:rsid w:val="00F608E7"/>
    <w:rsid w:val="00F6465F"/>
    <w:rsid w:val="00F64C71"/>
    <w:rsid w:val="00F72329"/>
    <w:rsid w:val="00F74E51"/>
    <w:rsid w:val="00F777D0"/>
    <w:rsid w:val="00F91211"/>
    <w:rsid w:val="00F942B2"/>
    <w:rsid w:val="00F94AB6"/>
    <w:rsid w:val="00F96C2E"/>
    <w:rsid w:val="00FA1FBA"/>
    <w:rsid w:val="00FA28E7"/>
    <w:rsid w:val="00FA576C"/>
    <w:rsid w:val="00FB1178"/>
    <w:rsid w:val="00FD0F89"/>
    <w:rsid w:val="00FD2BD3"/>
    <w:rsid w:val="00FD3643"/>
    <w:rsid w:val="00FE2DB1"/>
    <w:rsid w:val="00FE3D49"/>
    <w:rsid w:val="00FF0ADC"/>
    <w:rsid w:val="00FF3279"/>
    <w:rsid w:val="00FF422A"/>
    <w:rsid w:val="00FF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0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40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A40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A406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B0FC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16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6C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06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406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A40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Title">
    <w:name w:val="ConsTitle"/>
    <w:rsid w:val="00A406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C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C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BB0FC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16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6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6C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FFFC-70EF-429E-AB4E-FD8AB395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Софьичева Светлана Олеговна</dc:creator>
  <cp:lastModifiedBy>User</cp:lastModifiedBy>
  <cp:revision>20</cp:revision>
  <cp:lastPrinted>2023-08-10T11:00:00Z</cp:lastPrinted>
  <dcterms:created xsi:type="dcterms:W3CDTF">2022-10-19T05:30:00Z</dcterms:created>
  <dcterms:modified xsi:type="dcterms:W3CDTF">2023-08-10T11:29:00Z</dcterms:modified>
</cp:coreProperties>
</file>