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bookmarkStart w:id="0" w:name="_GoBack"/>
      <w:bookmarkEnd w:id="0"/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управление по охране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объектов культурного наследия администрации Губернатора Ульяновской области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4F2A4E87" w14:textId="5FB4DE5B" w:rsidR="00696E0C" w:rsidRPr="00AE032C" w:rsidRDefault="00BB1B68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420D40" w:rsidRPr="00420D40">
        <w:rPr>
          <w:rFonts w:ascii="PT Astra Serif" w:hAnsi="PT Astra Serif"/>
          <w:sz w:val="26"/>
          <w:szCs w:val="26"/>
          <w:u w:val="single"/>
        </w:rPr>
        <w:t xml:space="preserve">«Об утверждении </w:t>
      </w:r>
      <w:proofErr w:type="gramStart"/>
      <w:r w:rsidR="00420D40" w:rsidRPr="00420D40">
        <w:rPr>
          <w:rFonts w:ascii="PT Astra Serif" w:hAnsi="PT Astra Serif"/>
          <w:sz w:val="26"/>
          <w:szCs w:val="26"/>
          <w:u w:val="single"/>
        </w:rPr>
        <w:t>границ зон охраны объекта культурного наследия регионального</w:t>
      </w:r>
      <w:proofErr w:type="gramEnd"/>
      <w:r w:rsidR="00420D40" w:rsidRPr="00420D40">
        <w:rPr>
          <w:rFonts w:ascii="PT Astra Serif" w:hAnsi="PT Astra Serif"/>
          <w:sz w:val="26"/>
          <w:szCs w:val="26"/>
          <w:u w:val="single"/>
        </w:rPr>
        <w:t xml:space="preserve"> значения «</w:t>
      </w:r>
      <w:proofErr w:type="spellStart"/>
      <w:r w:rsidR="00420D40" w:rsidRPr="00420D40">
        <w:rPr>
          <w:rFonts w:ascii="PT Astra Serif" w:hAnsi="PT Astra Serif"/>
          <w:sz w:val="26"/>
          <w:szCs w:val="26"/>
          <w:u w:val="single"/>
        </w:rPr>
        <w:t>Водонасосная</w:t>
      </w:r>
      <w:proofErr w:type="spellEnd"/>
      <w:r w:rsidR="00420D40" w:rsidRPr="00420D40">
        <w:rPr>
          <w:rFonts w:ascii="PT Astra Serif" w:hAnsi="PT Astra Serif"/>
          <w:sz w:val="26"/>
          <w:szCs w:val="26"/>
          <w:u w:val="single"/>
        </w:rPr>
        <w:t xml:space="preserve"> станция», расположенного по адресу: г. Ульяновск, ул. Тургенева, 26</w:t>
      </w:r>
      <w:r w:rsidR="00420D40">
        <w:rPr>
          <w:rFonts w:ascii="PT Astra Serif" w:hAnsi="PT Astra Serif"/>
          <w:sz w:val="26"/>
          <w:szCs w:val="26"/>
          <w:u w:val="single"/>
        </w:rPr>
        <w:t xml:space="preserve">, режимов использования земель </w:t>
      </w:r>
      <w:r w:rsidR="00420D40" w:rsidRPr="00420D40">
        <w:rPr>
          <w:rFonts w:ascii="PT Astra Serif" w:hAnsi="PT Astra Serif"/>
          <w:sz w:val="26"/>
          <w:szCs w:val="26"/>
          <w:u w:val="single"/>
        </w:rPr>
        <w:t>и требований к градостроительным регламентам в границах территорий данных зон»</w:t>
      </w:r>
    </w:p>
    <w:p w14:paraId="25137AB2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52DDFB3C" w14:textId="480B3809" w:rsidR="00FA4428" w:rsidRPr="00420D40" w:rsidRDefault="00420D40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420D40">
        <w:rPr>
          <w:rFonts w:ascii="PT Astra Serif" w:hAnsi="PT Astra Serif"/>
          <w:sz w:val="26"/>
          <w:szCs w:val="26"/>
          <w:u w:val="single"/>
        </w:rPr>
        <w:t>Настоящим проектом постановления предлагается утвердить границы зон охраны объекта культурного наследия регионального значения «</w:t>
      </w:r>
      <w:proofErr w:type="spellStart"/>
      <w:r w:rsidRPr="00420D40">
        <w:rPr>
          <w:rFonts w:ascii="PT Astra Serif" w:hAnsi="PT Astra Serif"/>
          <w:sz w:val="26"/>
          <w:szCs w:val="26"/>
          <w:u w:val="single"/>
        </w:rPr>
        <w:t>Водонасосная</w:t>
      </w:r>
      <w:proofErr w:type="spellEnd"/>
      <w:r w:rsidRPr="00420D40">
        <w:rPr>
          <w:rFonts w:ascii="PT Astra Serif" w:hAnsi="PT Astra Serif"/>
          <w:sz w:val="26"/>
          <w:szCs w:val="26"/>
          <w:u w:val="single"/>
        </w:rPr>
        <w:t xml:space="preserve"> станция», расположенного по адресу: г. Ульяновск, ул. Тургенева, 26</w:t>
      </w:r>
      <w:r w:rsidR="008F1585">
        <w:rPr>
          <w:rFonts w:ascii="PT Astra Serif" w:hAnsi="PT Astra Serif"/>
          <w:sz w:val="26"/>
          <w:szCs w:val="26"/>
          <w:u w:val="single"/>
        </w:rPr>
        <w:t xml:space="preserve"> </w:t>
      </w:r>
      <w:r w:rsidRPr="00420D40">
        <w:rPr>
          <w:rFonts w:ascii="PT Astra Serif" w:hAnsi="PT Astra Serif"/>
          <w:sz w:val="26"/>
          <w:szCs w:val="26"/>
          <w:u w:val="single"/>
        </w:rPr>
        <w:t>(поставлен на государственную охрану Распоряжением Правительства Ульяновской области от 10.08.2018 № 363-пр «О  включении выявленных объектов культурного наследия в единый государственный реестр объектов культурного наследия (памятников истории и культуры</w:t>
      </w:r>
      <w:r>
        <w:rPr>
          <w:rFonts w:ascii="PT Astra Serif" w:hAnsi="PT Astra Serif"/>
          <w:sz w:val="26"/>
          <w:szCs w:val="26"/>
          <w:u w:val="single"/>
        </w:rPr>
        <w:t xml:space="preserve">) народов Российской Федерации </w:t>
      </w:r>
      <w:r w:rsidRPr="00420D40">
        <w:rPr>
          <w:rFonts w:ascii="PT Astra Serif" w:hAnsi="PT Astra Serif"/>
          <w:sz w:val="26"/>
          <w:szCs w:val="26"/>
          <w:u w:val="single"/>
        </w:rPr>
        <w:t>и утверждении границ территорий объектов культурного</w:t>
      </w:r>
      <w:proofErr w:type="gramEnd"/>
      <w:r w:rsidRPr="00420D40">
        <w:rPr>
          <w:rFonts w:ascii="PT Astra Serif" w:hAnsi="PT Astra Serif"/>
          <w:sz w:val="26"/>
          <w:szCs w:val="26"/>
          <w:u w:val="single"/>
        </w:rPr>
        <w:t xml:space="preserve"> наследия»)  режимов использования земель и требований к градостроительным регламентам в границах территории данных зон.</w:t>
      </w:r>
    </w:p>
    <w:p w14:paraId="7EF6A9E5" w14:textId="77777777" w:rsidR="00420D40" w:rsidRDefault="00420D40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1B9FD236" w14:textId="72CDE6F6" w:rsidR="00420D40" w:rsidRDefault="00420D40" w:rsidP="00980DD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420D40">
        <w:rPr>
          <w:rFonts w:ascii="PT Astra Serif" w:hAnsi="PT Astra Serif"/>
          <w:sz w:val="26"/>
          <w:szCs w:val="26"/>
          <w:u w:val="single"/>
        </w:rPr>
        <w:t xml:space="preserve">Проект подготовлен в соответствии со </w:t>
      </w:r>
      <w:r w:rsidR="00980DD7">
        <w:rPr>
          <w:rFonts w:ascii="PT Astra Serif" w:hAnsi="PT Astra Serif"/>
          <w:sz w:val="26"/>
          <w:szCs w:val="26"/>
          <w:u w:val="single"/>
        </w:rPr>
        <w:t xml:space="preserve">статьёй 34 Федерального закона </w:t>
      </w:r>
      <w:r w:rsidR="00980DD7">
        <w:rPr>
          <w:rFonts w:ascii="PT Astra Serif" w:hAnsi="PT Astra Serif"/>
          <w:sz w:val="26"/>
          <w:szCs w:val="26"/>
          <w:u w:val="single"/>
        </w:rPr>
        <w:br/>
      </w:r>
      <w:r w:rsidRPr="00420D40">
        <w:rPr>
          <w:rFonts w:ascii="PT Astra Serif" w:hAnsi="PT Astra Serif"/>
          <w:sz w:val="26"/>
          <w:szCs w:val="26"/>
          <w:u w:val="single"/>
        </w:rPr>
        <w:t>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</w:t>
      </w:r>
      <w:r>
        <w:rPr>
          <w:rFonts w:ascii="PT Astra Serif" w:hAnsi="PT Astra Serif"/>
          <w:sz w:val="26"/>
          <w:szCs w:val="26"/>
          <w:u w:val="single"/>
        </w:rPr>
        <w:t xml:space="preserve">йской Федерации, расположенных </w:t>
      </w:r>
      <w:r w:rsidRPr="00420D40">
        <w:rPr>
          <w:rFonts w:ascii="PT Astra Serif" w:hAnsi="PT Astra Serif"/>
          <w:sz w:val="26"/>
          <w:szCs w:val="26"/>
          <w:u w:val="single"/>
        </w:rPr>
        <w:t>на территории Ульяновской области», постановлением Правительства Российской Федерации от</w:t>
      </w:r>
      <w:proofErr w:type="gramEnd"/>
      <w:r w:rsidRPr="00420D40">
        <w:rPr>
          <w:rFonts w:ascii="PT Astra Serif" w:hAnsi="PT Astra Serif"/>
          <w:sz w:val="26"/>
          <w:szCs w:val="26"/>
          <w:u w:val="single"/>
        </w:rPr>
        <w:t xml:space="preserve"> 12.09.2015 № 972 «Об утверждении Положения о зонах охраны объектов культурного насле</w:t>
      </w:r>
      <w:r>
        <w:rPr>
          <w:rFonts w:ascii="PT Astra Serif" w:hAnsi="PT Astra Serif"/>
          <w:sz w:val="26"/>
          <w:szCs w:val="26"/>
          <w:u w:val="single"/>
        </w:rPr>
        <w:t xml:space="preserve">дия (памятников истории </w:t>
      </w:r>
      <w:r w:rsidRPr="00420D40">
        <w:rPr>
          <w:rFonts w:ascii="PT Astra Serif" w:hAnsi="PT Astra Serif"/>
          <w:sz w:val="26"/>
          <w:szCs w:val="26"/>
          <w:u w:val="single"/>
        </w:rPr>
        <w:t xml:space="preserve">и культуры) народов Российской Федерации и о признании </w:t>
      </w:r>
      <w:proofErr w:type="gramStart"/>
      <w:r w:rsidRPr="00420D40">
        <w:rPr>
          <w:rFonts w:ascii="PT Astra Serif" w:hAnsi="PT Astra Serif"/>
          <w:sz w:val="26"/>
          <w:szCs w:val="26"/>
          <w:u w:val="single"/>
        </w:rPr>
        <w:t>утратившими</w:t>
      </w:r>
      <w:proofErr w:type="gramEnd"/>
      <w:r w:rsidRPr="00420D40">
        <w:rPr>
          <w:rFonts w:ascii="PT Astra Serif" w:hAnsi="PT Astra Serif"/>
          <w:sz w:val="26"/>
          <w:szCs w:val="26"/>
          <w:u w:val="single"/>
        </w:rPr>
        <w:t xml:space="preserve"> силу отдельных положений нормативных правовых актов Правительства Российской Федерации».</w:t>
      </w:r>
    </w:p>
    <w:p w14:paraId="04656C3F" w14:textId="77777777" w:rsidR="004B345C" w:rsidRDefault="004B345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03D4" w14:textId="5D503310" w:rsidR="00696E0C" w:rsidRPr="00420D40" w:rsidRDefault="00696E0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50463DA3" w14:textId="77777777" w:rsidR="004B345C" w:rsidRDefault="004B345C" w:rsidP="00791D76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proofErr w:type="gramStart"/>
      <w:r w:rsidRPr="004B345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lastRenderedPageBreak/>
        <w:t>Настоящим проектом постановления предлагается утвердить границы зон охраны объекта культурного наследия регионального значения «</w:t>
      </w:r>
      <w:proofErr w:type="spellStart"/>
      <w:r w:rsidRPr="004B345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Водонасосная</w:t>
      </w:r>
      <w:proofErr w:type="spellEnd"/>
      <w:r w:rsidRPr="004B345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станция», расположенного по адресу: г. Ульяновск, ул. Тургенева, 26 (поставлен на государственную охрану Распоряжением Правительства Ульяновской области от 10.08.2018 № 363-пр «О 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и утверждении границ территорий объектов культурного</w:t>
      </w:r>
      <w:proofErr w:type="gramEnd"/>
      <w:r w:rsidRPr="004B345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наследия»)  режимов использования земель и требований к градостроительным регламентам в границах территории данных зон.</w:t>
      </w:r>
    </w:p>
    <w:p w14:paraId="1C51DF41" w14:textId="2EB087B8" w:rsidR="00D54749" w:rsidRPr="00D54749" w:rsidRDefault="00696E0C" w:rsidP="004B345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  <w:r w:rsidR="004B345C">
        <w:rPr>
          <w:rFonts w:ascii="PT Astra Serif" w:hAnsi="PT Astra Serif"/>
          <w:sz w:val="26"/>
          <w:szCs w:val="26"/>
        </w:rPr>
        <w:t xml:space="preserve"> </w:t>
      </w:r>
      <w:r w:rsidR="00D54749">
        <w:rPr>
          <w:rFonts w:ascii="PT Astra Serif" w:hAnsi="PT Astra Serif"/>
          <w:sz w:val="26"/>
          <w:szCs w:val="26"/>
          <w:lang w:val="en-US"/>
        </w:rPr>
        <w:t>c</w:t>
      </w:r>
      <w:r w:rsidR="00D54749" w:rsidRPr="00D54749">
        <w:rPr>
          <w:rFonts w:ascii="PT Astra Serif" w:hAnsi="PT Astra Serif"/>
          <w:sz w:val="26"/>
          <w:szCs w:val="26"/>
        </w:rPr>
        <w:t xml:space="preserve"> </w:t>
      </w:r>
      <w:r w:rsidR="00984FAA">
        <w:rPr>
          <w:rFonts w:ascii="PT Astra Serif" w:hAnsi="PT Astra Serif"/>
          <w:sz w:val="26"/>
          <w:szCs w:val="26"/>
        </w:rPr>
        <w:t>12</w:t>
      </w:r>
      <w:r w:rsidR="00D54749">
        <w:rPr>
          <w:rFonts w:ascii="PT Astra Serif" w:hAnsi="PT Astra Serif"/>
          <w:sz w:val="26"/>
          <w:szCs w:val="26"/>
        </w:rPr>
        <w:t>.</w:t>
      </w:r>
      <w:r w:rsidR="00984FAA">
        <w:rPr>
          <w:rFonts w:ascii="PT Astra Serif" w:hAnsi="PT Astra Serif"/>
          <w:sz w:val="26"/>
          <w:szCs w:val="26"/>
        </w:rPr>
        <w:t>12</w:t>
      </w:r>
      <w:r w:rsidR="00D54749">
        <w:rPr>
          <w:rFonts w:ascii="PT Astra Serif" w:hAnsi="PT Astra Serif"/>
          <w:sz w:val="26"/>
          <w:szCs w:val="26"/>
        </w:rPr>
        <w:t>.202</w:t>
      </w:r>
      <w:r w:rsidR="00984FAA">
        <w:rPr>
          <w:rFonts w:ascii="PT Astra Serif" w:hAnsi="PT Astra Serif"/>
          <w:sz w:val="26"/>
          <w:szCs w:val="26"/>
        </w:rPr>
        <w:t>4</w:t>
      </w:r>
      <w:r w:rsidR="00D54749">
        <w:rPr>
          <w:rFonts w:ascii="PT Astra Serif" w:hAnsi="PT Astra Serif"/>
          <w:sz w:val="26"/>
          <w:szCs w:val="26"/>
        </w:rPr>
        <w:t xml:space="preserve"> по </w:t>
      </w:r>
      <w:r w:rsidR="00FC4B38">
        <w:rPr>
          <w:rFonts w:ascii="PT Astra Serif" w:hAnsi="PT Astra Serif"/>
          <w:sz w:val="26"/>
          <w:szCs w:val="26"/>
        </w:rPr>
        <w:t>2</w:t>
      </w:r>
      <w:r w:rsidR="00984FAA">
        <w:rPr>
          <w:rFonts w:ascii="PT Astra Serif" w:hAnsi="PT Astra Serif"/>
          <w:sz w:val="26"/>
          <w:szCs w:val="26"/>
        </w:rPr>
        <w:t>1</w:t>
      </w:r>
      <w:r w:rsidR="00980DD7">
        <w:rPr>
          <w:rFonts w:ascii="PT Astra Serif" w:hAnsi="PT Astra Serif"/>
          <w:sz w:val="26"/>
          <w:szCs w:val="26"/>
        </w:rPr>
        <w:t>.</w:t>
      </w:r>
      <w:r w:rsidR="004B345C">
        <w:rPr>
          <w:rFonts w:ascii="PT Astra Serif" w:hAnsi="PT Astra Serif"/>
          <w:sz w:val="26"/>
          <w:szCs w:val="26"/>
        </w:rPr>
        <w:t>12</w:t>
      </w:r>
      <w:r w:rsidR="00D54749">
        <w:rPr>
          <w:rFonts w:ascii="PT Astra Serif" w:hAnsi="PT Astra Serif"/>
          <w:sz w:val="26"/>
          <w:szCs w:val="26"/>
        </w:rPr>
        <w:t>.202</w:t>
      </w:r>
      <w:r w:rsidR="004B345C">
        <w:rPr>
          <w:rFonts w:ascii="PT Astra Serif" w:hAnsi="PT Astra Serif"/>
          <w:sz w:val="26"/>
          <w:szCs w:val="26"/>
        </w:rPr>
        <w:t>4</w:t>
      </w: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12BE702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B64590" w:rsidRPr="00AE032C">
        <w:rPr>
          <w:rFonts w:ascii="PT Astra Serif" w:hAnsi="PT Astra Serif"/>
          <w:sz w:val="26"/>
          <w:szCs w:val="26"/>
        </w:rPr>
        <w:t>Чижова Яна Николаевна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602D724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B64590" w:rsidRPr="00AE032C">
        <w:rPr>
          <w:rFonts w:ascii="PT Astra Serif" w:hAnsi="PT Astra Serif"/>
          <w:sz w:val="26"/>
          <w:szCs w:val="26"/>
        </w:rPr>
        <w:t>Консультант 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1B7BFE59" w14:textId="77777777" w:rsidR="00AA2A83" w:rsidRDefault="00AA2A8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Настоящим проектом постановления предлагается утвердить границы зон охраны объекта культурного наследия регионального значения «</w:t>
      </w:r>
      <w:proofErr w:type="spellStart"/>
      <w:r w:rsidRPr="00AA2A83">
        <w:rPr>
          <w:rFonts w:ascii="PT Astra Serif" w:hAnsi="PT Astra Serif"/>
          <w:sz w:val="26"/>
          <w:szCs w:val="26"/>
          <w:u w:val="single"/>
        </w:rPr>
        <w:t>Водонасосная</w:t>
      </w:r>
      <w:proofErr w:type="spellEnd"/>
      <w:r w:rsidRPr="00AA2A83">
        <w:rPr>
          <w:rFonts w:ascii="PT Astra Serif" w:hAnsi="PT Astra Serif"/>
          <w:sz w:val="26"/>
          <w:szCs w:val="26"/>
          <w:u w:val="single"/>
        </w:rPr>
        <w:t xml:space="preserve"> станция», расположенного по адресу: г. Ульяновск, ул. Тургенева, 26(поставлен на государственную охрану Распоряжением Правительства Ульяновской области от 10.08.2018 № 363-пр «О 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и утверждении границ территорий объектов культурного</w:t>
      </w:r>
      <w:proofErr w:type="gramEnd"/>
      <w:r w:rsidRPr="00AA2A83">
        <w:rPr>
          <w:rFonts w:ascii="PT Astra Serif" w:hAnsi="PT Astra Serif"/>
          <w:sz w:val="26"/>
          <w:szCs w:val="26"/>
          <w:u w:val="single"/>
        </w:rPr>
        <w:t xml:space="preserve"> наследия»)  режимов использования земель и требований к градостроительным регламентам в границах территории данных зон</w:t>
      </w:r>
    </w:p>
    <w:p w14:paraId="779CBE5C" w14:textId="7ED96BE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2.2. Характеристика негативных эффектов, возникающих в связи </w:t>
      </w:r>
      <w:r w:rsidRPr="00AE032C">
        <w:rPr>
          <w:rFonts w:ascii="PT Astra Serif" w:hAnsi="PT Astra Serif"/>
          <w:sz w:val="26"/>
          <w:szCs w:val="26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2973E69E" w14:textId="2A57322E" w:rsidR="00984FAA" w:rsidRDefault="00984FAA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984FAA">
        <w:rPr>
          <w:rFonts w:ascii="PT Astra Serif" w:hAnsi="PT Astra Serif"/>
          <w:sz w:val="26"/>
          <w:szCs w:val="26"/>
          <w:u w:val="single"/>
        </w:rPr>
        <w:lastRenderedPageBreak/>
        <w:t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наследия, зона регулирования застройки и хозяйственной деятельности, зона охраняемого природного ландшафта.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</w:p>
    <w:p w14:paraId="6E2CDA03" w14:textId="48BE77E7" w:rsidR="00984FAA" w:rsidRDefault="00984FAA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В случае отсутствия зон охраны объекта культурного наследия, действует защитная зона, которая ограничивает какое-либо строительство в границах данных зон.</w:t>
      </w:r>
    </w:p>
    <w:p w14:paraId="10923BF5" w14:textId="5E62FF35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30182DBE" w14:textId="15F8C9E1" w:rsidR="00AA2A83" w:rsidRDefault="00AA2A8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Настоящим проектом постановления предлагается утвердить границы зон охраны объекта культурного наследия регионального значения «</w:t>
      </w:r>
      <w:proofErr w:type="spellStart"/>
      <w:r w:rsidRPr="00AA2A83">
        <w:rPr>
          <w:rFonts w:ascii="PT Astra Serif" w:hAnsi="PT Astra Serif"/>
          <w:sz w:val="26"/>
          <w:szCs w:val="26"/>
          <w:u w:val="single"/>
        </w:rPr>
        <w:t>Водонасосная</w:t>
      </w:r>
      <w:proofErr w:type="spellEnd"/>
      <w:r w:rsidRPr="00AA2A83">
        <w:rPr>
          <w:rFonts w:ascii="PT Astra Serif" w:hAnsi="PT Astra Serif"/>
          <w:sz w:val="26"/>
          <w:szCs w:val="26"/>
          <w:u w:val="single"/>
        </w:rPr>
        <w:t xml:space="preserve"> станция», расположенного по адресу: г. Ульяновск, ул. Тургенева, 26</w:t>
      </w:r>
      <w:r w:rsidR="004B345C">
        <w:rPr>
          <w:rFonts w:ascii="PT Astra Serif" w:hAnsi="PT Astra Serif"/>
          <w:sz w:val="26"/>
          <w:szCs w:val="26"/>
          <w:u w:val="single"/>
        </w:rPr>
        <w:t xml:space="preserve"> </w:t>
      </w:r>
      <w:r w:rsidRPr="00AA2A83">
        <w:rPr>
          <w:rFonts w:ascii="PT Astra Serif" w:hAnsi="PT Astra Serif"/>
          <w:sz w:val="26"/>
          <w:szCs w:val="26"/>
          <w:u w:val="single"/>
        </w:rPr>
        <w:t>(поставлен на государственную охрану Распоряжением Правительства Ульяновской области от 10.08.2018 № 363-пр «О 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и утверждении границ территорий объектов культурного</w:t>
      </w:r>
      <w:proofErr w:type="gramEnd"/>
      <w:r w:rsidRPr="00AA2A83">
        <w:rPr>
          <w:rFonts w:ascii="PT Astra Serif" w:hAnsi="PT Astra Serif"/>
          <w:sz w:val="26"/>
          <w:szCs w:val="26"/>
          <w:u w:val="single"/>
        </w:rPr>
        <w:t xml:space="preserve"> наследия»)  режимов использования земель и требований к градостроительным регламентам в границах территории данных зон</w:t>
      </w:r>
    </w:p>
    <w:p w14:paraId="0E38B4AD" w14:textId="2A9F98E8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784326AD" w14:textId="6B718553" w:rsidR="00AA2A83" w:rsidRDefault="00AA2A83" w:rsidP="004B345C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</w:r>
      <w:proofErr w:type="gramEnd"/>
      <w:r w:rsidRPr="00AA2A83">
        <w:rPr>
          <w:rFonts w:ascii="PT Astra Serif" w:hAnsi="PT Astra Serif"/>
          <w:sz w:val="26"/>
          <w:szCs w:val="26"/>
          <w:u w:val="single"/>
        </w:rPr>
        <w:t xml:space="preserve"> объектов культурного наследия (памятников истории и культуры) народов Российской Федерации и о признании </w:t>
      </w: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утратившими</w:t>
      </w:r>
      <w:proofErr w:type="gramEnd"/>
      <w:r w:rsidRPr="00AA2A83">
        <w:rPr>
          <w:rFonts w:ascii="PT Astra Serif" w:hAnsi="PT Astra Serif"/>
          <w:sz w:val="26"/>
          <w:szCs w:val="26"/>
          <w:u w:val="single"/>
        </w:rPr>
        <w:t xml:space="preserve"> силу отдельных положений нормативных правовых актов Правительства Российской Федерации».</w:t>
      </w:r>
      <w:r w:rsidRPr="00AA2A83">
        <w:t xml:space="preserve"> </w:t>
      </w: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Проект постановления разработ</w:t>
      </w:r>
      <w:r>
        <w:rPr>
          <w:rFonts w:ascii="PT Astra Serif" w:hAnsi="PT Astra Serif"/>
          <w:sz w:val="26"/>
          <w:szCs w:val="26"/>
          <w:u w:val="single"/>
        </w:rPr>
        <w:t xml:space="preserve">ан на основании разработанного </w:t>
      </w:r>
      <w:r w:rsidRPr="00AA2A83">
        <w:rPr>
          <w:rFonts w:ascii="PT Astra Serif" w:hAnsi="PT Astra Serif"/>
          <w:sz w:val="26"/>
          <w:szCs w:val="26"/>
          <w:u w:val="single"/>
        </w:rPr>
        <w:t>по заказу Правительства Ульяновской области ООО «</w:t>
      </w:r>
      <w:proofErr w:type="spellStart"/>
      <w:r w:rsidRPr="00AA2A83">
        <w:rPr>
          <w:rFonts w:ascii="PT Astra Serif" w:hAnsi="PT Astra Serif"/>
          <w:sz w:val="26"/>
          <w:szCs w:val="26"/>
          <w:u w:val="single"/>
        </w:rPr>
        <w:t>Средневолжское</w:t>
      </w:r>
      <w:proofErr w:type="spellEnd"/>
      <w:r w:rsidRPr="00AA2A83">
        <w:rPr>
          <w:rFonts w:ascii="PT Astra Serif" w:hAnsi="PT Astra Serif"/>
          <w:sz w:val="26"/>
          <w:szCs w:val="26"/>
          <w:u w:val="single"/>
        </w:rPr>
        <w:t xml:space="preserve"> предприятие спецпроектреставрация» проекта зон охраны объекта культурного наследия (памятников истории и культуры) народов Российской Федерации регионального значения «</w:t>
      </w:r>
      <w:proofErr w:type="spellStart"/>
      <w:r w:rsidRPr="00AA2A83">
        <w:rPr>
          <w:rFonts w:ascii="PT Astra Serif" w:hAnsi="PT Astra Serif"/>
          <w:sz w:val="26"/>
          <w:szCs w:val="26"/>
          <w:u w:val="single"/>
        </w:rPr>
        <w:t>Водонасосная</w:t>
      </w:r>
      <w:proofErr w:type="spellEnd"/>
      <w:r w:rsidRPr="00AA2A83">
        <w:rPr>
          <w:rFonts w:ascii="PT Astra Serif" w:hAnsi="PT Astra Serif"/>
          <w:sz w:val="26"/>
          <w:szCs w:val="26"/>
          <w:u w:val="single"/>
        </w:rPr>
        <w:t xml:space="preserve"> станция»,  расположенного по адресу: г. Ульяновск, ул. Тургенева, 26</w:t>
      </w:r>
      <w:r>
        <w:rPr>
          <w:rFonts w:ascii="PT Astra Serif" w:hAnsi="PT Astra Serif"/>
          <w:sz w:val="26"/>
          <w:szCs w:val="26"/>
          <w:u w:val="single"/>
        </w:rPr>
        <w:t xml:space="preserve">, режимов использования земель </w:t>
      </w:r>
      <w:r w:rsidRPr="00AA2A83">
        <w:rPr>
          <w:rFonts w:ascii="PT Astra Serif" w:hAnsi="PT Astra Serif"/>
          <w:sz w:val="26"/>
          <w:szCs w:val="26"/>
          <w:u w:val="single"/>
        </w:rPr>
        <w:t>и требований к градостроительным регламентам в границах территорий данных зон, представленного вместе с обосновывающими материалами.</w:t>
      </w:r>
      <w:proofErr w:type="gramEnd"/>
    </w:p>
    <w:p w14:paraId="6C1AE05D" w14:textId="432FA998" w:rsidR="00696E0C" w:rsidRPr="00AE032C" w:rsidRDefault="00696E0C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327F6506" w14:textId="5C537237" w:rsidR="00AA2A83" w:rsidRPr="00AE032C" w:rsidRDefault="00AA2A83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-</w:t>
      </w:r>
    </w:p>
    <w:p w14:paraId="53512E5C" w14:textId="77777777" w:rsidR="00AA2A83" w:rsidRDefault="00AA2A83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3D93EB3C" w14:textId="5A02B809" w:rsidR="006F6150" w:rsidRPr="00AA2A83" w:rsidRDefault="00AA2A83" w:rsidP="00AA2A83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  <w:proofErr w:type="gramStart"/>
      <w:r w:rsidRPr="00AA2A83">
        <w:rPr>
          <w:rFonts w:ascii="PT Astra Serif" w:hAnsi="PT Astra Serif" w:cs="Arial"/>
          <w:sz w:val="26"/>
          <w:szCs w:val="26"/>
          <w:u w:val="single"/>
        </w:rPr>
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</w:r>
      <w:proofErr w:type="gramEnd"/>
      <w:r w:rsidRPr="00AA2A83">
        <w:rPr>
          <w:rFonts w:ascii="PT Astra Serif" w:hAnsi="PT Astra Serif" w:cs="Arial"/>
          <w:sz w:val="26"/>
          <w:szCs w:val="26"/>
          <w:u w:val="single"/>
        </w:rPr>
        <w:t xml:space="preserve"> объектов культурног</w:t>
      </w:r>
      <w:r>
        <w:rPr>
          <w:rFonts w:ascii="PT Astra Serif" w:hAnsi="PT Astra Serif" w:cs="Arial"/>
          <w:sz w:val="26"/>
          <w:szCs w:val="26"/>
          <w:u w:val="single"/>
        </w:rPr>
        <w:t xml:space="preserve">о наследия (памятников истории </w:t>
      </w:r>
      <w:r w:rsidRPr="00AA2A83">
        <w:rPr>
          <w:rFonts w:ascii="PT Astra Serif" w:hAnsi="PT Astra Serif" w:cs="Arial"/>
          <w:sz w:val="26"/>
          <w:szCs w:val="26"/>
          <w:u w:val="single"/>
        </w:rPr>
        <w:t xml:space="preserve">и культуры) народов Российской Федерации и о признании утратившими силу отдельных положений нормативных правовых актов Правительства Российской </w:t>
      </w:r>
      <w:proofErr w:type="spellStart"/>
      <w:r w:rsidRPr="00AA2A83">
        <w:rPr>
          <w:rFonts w:ascii="PT Astra Serif" w:hAnsi="PT Astra Serif" w:cs="Arial"/>
          <w:sz w:val="26"/>
          <w:szCs w:val="26"/>
          <w:u w:val="single"/>
        </w:rPr>
        <w:t>Федерации»</w:t>
      </w:r>
      <w:proofErr w:type="gramStart"/>
      <w:r w:rsidRPr="00AA2A83">
        <w:rPr>
          <w:rFonts w:ascii="PT Astra Serif" w:hAnsi="PT Astra Serif" w:cs="Arial"/>
          <w:sz w:val="26"/>
          <w:szCs w:val="26"/>
          <w:u w:val="single"/>
        </w:rPr>
        <w:t>.П</w:t>
      </w:r>
      <w:proofErr w:type="gramEnd"/>
      <w:r w:rsidRPr="00AA2A83">
        <w:rPr>
          <w:rFonts w:ascii="PT Astra Serif" w:hAnsi="PT Astra Serif" w:cs="Arial"/>
          <w:sz w:val="26"/>
          <w:szCs w:val="26"/>
          <w:u w:val="single"/>
        </w:rPr>
        <w:t>роект</w:t>
      </w:r>
      <w:proofErr w:type="spellEnd"/>
      <w:r w:rsidRPr="00AA2A83">
        <w:rPr>
          <w:rFonts w:ascii="PT Astra Serif" w:hAnsi="PT Astra Serif" w:cs="Arial"/>
          <w:sz w:val="26"/>
          <w:szCs w:val="26"/>
          <w:u w:val="single"/>
        </w:rPr>
        <w:t xml:space="preserve"> постановления разработ</w:t>
      </w:r>
      <w:r>
        <w:rPr>
          <w:rFonts w:ascii="PT Astra Serif" w:hAnsi="PT Astra Serif" w:cs="Arial"/>
          <w:sz w:val="26"/>
          <w:szCs w:val="26"/>
          <w:u w:val="single"/>
        </w:rPr>
        <w:t xml:space="preserve">ан на основании разработанного </w:t>
      </w:r>
      <w:r w:rsidRPr="00AA2A83">
        <w:rPr>
          <w:rFonts w:ascii="PT Astra Serif" w:hAnsi="PT Astra Serif" w:cs="Arial"/>
          <w:sz w:val="26"/>
          <w:szCs w:val="26"/>
          <w:u w:val="single"/>
        </w:rPr>
        <w:t>по заказу Правительства Ульяновской области ООО «</w:t>
      </w:r>
      <w:proofErr w:type="spellStart"/>
      <w:r w:rsidRPr="00AA2A83">
        <w:rPr>
          <w:rFonts w:ascii="PT Astra Serif" w:hAnsi="PT Astra Serif" w:cs="Arial"/>
          <w:sz w:val="26"/>
          <w:szCs w:val="26"/>
          <w:u w:val="single"/>
        </w:rPr>
        <w:t>Средневолжское</w:t>
      </w:r>
      <w:proofErr w:type="spellEnd"/>
      <w:r w:rsidRPr="00AA2A83">
        <w:rPr>
          <w:rFonts w:ascii="PT Astra Serif" w:hAnsi="PT Astra Serif" w:cs="Arial"/>
          <w:sz w:val="26"/>
          <w:szCs w:val="26"/>
          <w:u w:val="single"/>
        </w:rPr>
        <w:t xml:space="preserve"> предприятие спецпроектреставрация» проекта зон охраны объекта культурного наследия (памятников истории и культуры) народов Российской Федерации регионального значения «</w:t>
      </w:r>
      <w:proofErr w:type="spellStart"/>
      <w:r w:rsidRPr="00AA2A83">
        <w:rPr>
          <w:rFonts w:ascii="PT Astra Serif" w:hAnsi="PT Astra Serif" w:cs="Arial"/>
          <w:sz w:val="26"/>
          <w:szCs w:val="26"/>
          <w:u w:val="single"/>
        </w:rPr>
        <w:t>Водонасосная</w:t>
      </w:r>
      <w:proofErr w:type="spellEnd"/>
      <w:r w:rsidRPr="00AA2A83">
        <w:rPr>
          <w:rFonts w:ascii="PT Astra Serif" w:hAnsi="PT Astra Serif" w:cs="Arial"/>
          <w:sz w:val="26"/>
          <w:szCs w:val="26"/>
          <w:u w:val="single"/>
        </w:rPr>
        <w:t xml:space="preserve"> станция»,  расположенного по адресу: г. Ульяновск, ул. Тургенева, 26</w:t>
      </w:r>
      <w:r>
        <w:rPr>
          <w:rFonts w:ascii="PT Astra Serif" w:hAnsi="PT Astra Serif" w:cs="Arial"/>
          <w:sz w:val="26"/>
          <w:szCs w:val="26"/>
          <w:u w:val="single"/>
        </w:rPr>
        <w:t xml:space="preserve">, режимов использования земель </w:t>
      </w:r>
      <w:r w:rsidRPr="00AA2A83">
        <w:rPr>
          <w:rFonts w:ascii="PT Astra Serif" w:hAnsi="PT Astra Serif" w:cs="Arial"/>
          <w:sz w:val="26"/>
          <w:szCs w:val="26"/>
          <w:u w:val="single"/>
        </w:rPr>
        <w:t>и требований к градостроительным регламентам в границах территорий данных зон, представленного вместе с обосновывающими материалами.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623B8534" w14:textId="3DE24766" w:rsidR="00696E0C" w:rsidRPr="00AE032C" w:rsidRDefault="00AA2A8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6"/>
                <w:szCs w:val="26"/>
              </w:rPr>
            </w:pPr>
            <w:proofErr w:type="gramStart"/>
            <w:r w:rsidRPr="00AA2A83">
              <w:rPr>
                <w:rFonts w:ascii="PT Astra Serif" w:hAnsi="PT Astra Serif"/>
                <w:sz w:val="26"/>
                <w:szCs w:val="26"/>
              </w:rPr>
              <w:t>Настоящим проектом постановления предлагается утвердить границы зон охраны объекта культурного наследия регионального значения «</w:t>
            </w:r>
            <w:proofErr w:type="spellStart"/>
            <w:r w:rsidRPr="00AA2A83">
              <w:rPr>
                <w:rFonts w:ascii="PT Astra Serif" w:hAnsi="PT Astra Serif"/>
                <w:sz w:val="26"/>
                <w:szCs w:val="26"/>
              </w:rPr>
              <w:t>Водонасосная</w:t>
            </w:r>
            <w:proofErr w:type="spellEnd"/>
            <w:r w:rsidRPr="00AA2A83">
              <w:rPr>
                <w:rFonts w:ascii="PT Astra Serif" w:hAnsi="PT Astra Serif"/>
                <w:sz w:val="26"/>
                <w:szCs w:val="26"/>
              </w:rPr>
              <w:t xml:space="preserve"> станция», расположенного по адресу: г. Ульяновск, ул. Тургенева, 26(поставлен на государственную охрану Распоряжением Правительства Ульяновской области от 10.08.2018 № 363-пр «О  включении выявленных объектов </w:t>
            </w:r>
            <w:r w:rsidRPr="00AA2A83">
              <w:rPr>
                <w:rFonts w:ascii="PT Astra Serif" w:hAnsi="PT Astra Serif"/>
                <w:sz w:val="26"/>
                <w:szCs w:val="26"/>
              </w:rPr>
              <w:lastRenderedPageBreak/>
              <w:t>культурного наследия в единый государственный реестр объектов культурного наследия (памятников истории и культуры) народов Российской Федерации и утверждении границ территорий объектов культурного</w:t>
            </w:r>
            <w:proofErr w:type="gramEnd"/>
            <w:r w:rsidRPr="00AA2A83">
              <w:rPr>
                <w:rFonts w:ascii="PT Astra Serif" w:hAnsi="PT Astra Serif"/>
                <w:sz w:val="26"/>
                <w:szCs w:val="26"/>
              </w:rPr>
              <w:t xml:space="preserve"> наследия»)  режимов использования земель и требований к градостроительным регламентам в границах территории данных зон.</w:t>
            </w: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0D1ED2B9" w14:textId="77777777" w:rsidR="00AA2A83" w:rsidRDefault="00AA2A83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proofErr w:type="gramStart"/>
      <w:r w:rsidRPr="00AA2A83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Настоящим проектом постановления предлагается утвердить границы зон охраны объекта культурного наследия регионального значения «</w:t>
      </w:r>
      <w:proofErr w:type="spellStart"/>
      <w:r w:rsidRPr="00AA2A83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Водонасосная</w:t>
      </w:r>
      <w:proofErr w:type="spellEnd"/>
      <w:r w:rsidRPr="00AA2A83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станция», расположенного по адресу: г. Ульяновск, ул. Тургенева, 26(поставлен на государственную охрану Распоряжением Правительства Ульяновской области от 10.08.2018 № 363-пр «О 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и утверждении границ территорий объектов культурного</w:t>
      </w:r>
      <w:proofErr w:type="gramEnd"/>
      <w:r w:rsidRPr="00AA2A83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наследия»)  режимов использования земель и требований к градостроительным регламентам в границах территории данных зон.</w:t>
      </w:r>
    </w:p>
    <w:p w14:paraId="01864A9F" w14:textId="7286C24B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43FE0A7F" w:rsidR="00696E0C" w:rsidRPr="00AE032C" w:rsidRDefault="003C653E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lastRenderedPageBreak/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0E250DC7" w:rsidR="006240E1" w:rsidRPr="00AE032C" w:rsidRDefault="00606542" w:rsidP="00AA2A8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 w:rsidR="00AA2A83" w:rsidRPr="00AA2A83">
        <w:rPr>
          <w:rFonts w:ascii="PT Astra Serif" w:hAnsi="PT Astra Serif" w:cs="PT Astra Serif"/>
          <w:sz w:val="26"/>
          <w:szCs w:val="26"/>
          <w:u w:val="single"/>
        </w:rPr>
        <w:t xml:space="preserve">«Об утверждении </w:t>
      </w:r>
      <w:proofErr w:type="gramStart"/>
      <w:r w:rsidR="00AA2A83" w:rsidRPr="00AA2A83">
        <w:rPr>
          <w:rFonts w:ascii="PT Astra Serif" w:hAnsi="PT Astra Serif" w:cs="PT Astra Serif"/>
          <w:sz w:val="26"/>
          <w:szCs w:val="26"/>
          <w:u w:val="single"/>
        </w:rPr>
        <w:t>границ зон охраны объекта культурного наследия регионального</w:t>
      </w:r>
      <w:proofErr w:type="gramEnd"/>
      <w:r w:rsidR="00AA2A83" w:rsidRPr="00AA2A83">
        <w:rPr>
          <w:rFonts w:ascii="PT Astra Serif" w:hAnsi="PT Astra Serif" w:cs="PT Astra Serif"/>
          <w:sz w:val="26"/>
          <w:szCs w:val="26"/>
          <w:u w:val="single"/>
        </w:rPr>
        <w:t xml:space="preserve"> значения «</w:t>
      </w:r>
      <w:proofErr w:type="spellStart"/>
      <w:r w:rsidR="00AA2A83" w:rsidRPr="00AA2A83">
        <w:rPr>
          <w:rFonts w:ascii="PT Astra Serif" w:hAnsi="PT Astra Serif" w:cs="PT Astra Serif"/>
          <w:sz w:val="26"/>
          <w:szCs w:val="26"/>
          <w:u w:val="single"/>
        </w:rPr>
        <w:t>Водонасосная</w:t>
      </w:r>
      <w:proofErr w:type="spellEnd"/>
      <w:r w:rsidR="00AA2A83" w:rsidRPr="00AA2A83">
        <w:rPr>
          <w:rFonts w:ascii="PT Astra Serif" w:hAnsi="PT Astra Serif" w:cs="PT Astra Serif"/>
          <w:sz w:val="26"/>
          <w:szCs w:val="26"/>
          <w:u w:val="single"/>
        </w:rPr>
        <w:t xml:space="preserve"> станция», расположенного по адресу: г. Ульяновск, ул. Тургенева, 26</w:t>
      </w:r>
      <w:r w:rsidR="00AA2A83">
        <w:rPr>
          <w:rFonts w:ascii="PT Astra Serif" w:hAnsi="PT Astra Serif" w:cs="PT Astra Serif"/>
          <w:sz w:val="26"/>
          <w:szCs w:val="26"/>
          <w:u w:val="single"/>
        </w:rPr>
        <w:t xml:space="preserve">, режимов использования земель </w:t>
      </w:r>
      <w:r w:rsidR="00AA2A83" w:rsidRPr="00AA2A83">
        <w:rPr>
          <w:rFonts w:ascii="PT Astra Serif" w:hAnsi="PT Astra Serif" w:cs="PT Astra Serif"/>
          <w:sz w:val="26"/>
          <w:szCs w:val="26"/>
          <w:u w:val="single"/>
        </w:rPr>
        <w:t>и требований к градостроительным регламентам в границах территорий данных зон»</w:t>
      </w:r>
      <w:r>
        <w:rPr>
          <w:rFonts w:ascii="PT Astra Serif" w:hAnsi="PT Astra Serif" w:cs="PT Astra Serif"/>
          <w:sz w:val="26"/>
          <w:szCs w:val="26"/>
          <w:u w:val="single"/>
        </w:rPr>
        <w:t xml:space="preserve"> не потребуется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692AE13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42CDF74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88522BB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lastRenderedPageBreak/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69C1709B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1. ОЗР – охранная зона объекта культурного наследия регионального значения «</w:t>
      </w:r>
      <w:proofErr w:type="spellStart"/>
      <w:r w:rsidRPr="00AA2A83">
        <w:rPr>
          <w:rFonts w:ascii="PT Astra Serif" w:hAnsi="PT Astra Serif"/>
          <w:sz w:val="26"/>
          <w:szCs w:val="26"/>
          <w:u w:val="single"/>
        </w:rPr>
        <w:t>Водонасосная</w:t>
      </w:r>
      <w:proofErr w:type="spellEnd"/>
      <w:r w:rsidRPr="00AA2A83">
        <w:rPr>
          <w:rFonts w:ascii="PT Astra Serif" w:hAnsi="PT Astra Serif"/>
          <w:sz w:val="26"/>
          <w:szCs w:val="26"/>
          <w:u w:val="single"/>
        </w:rPr>
        <w:t xml:space="preserve"> станция», расположенного по адресу: </w:t>
      </w: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Ульяновская область, г. Ульяновск, ул. Тургенева, 26 (далее – объект культурного наследия, охранная зона соответственно).</w:t>
      </w:r>
      <w:proofErr w:type="gramEnd"/>
    </w:p>
    <w:p w14:paraId="3D09DE5F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1.1. В границах охранной зоны запрещается:</w:t>
      </w:r>
    </w:p>
    <w:p w14:paraId="3EA4CA36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1) снос:</w:t>
      </w:r>
    </w:p>
    <w:p w14:paraId="52EE6271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а) объектов культурного наследия и их частей;</w:t>
      </w:r>
    </w:p>
    <w:p w14:paraId="1E436750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б) объектов, обладающих признаками объекта культурного наследия,</w:t>
      </w:r>
    </w:p>
    <w:p w14:paraId="1ADF2EDF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 xml:space="preserve"> и их частей, выявленных объектов культурного наследия;</w:t>
      </w:r>
    </w:p>
    <w:p w14:paraId="7F15ED6F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в) исторически ценных градоформирующих объектов и их частей без проведения историко-культурной экспертизы;</w:t>
      </w:r>
    </w:p>
    <w:p w14:paraId="0742C605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2) строительство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14:paraId="27B369B0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3) использование отдельных строительных и отделочных материалов, указанных в приложении № 1 к настоящим Режимам и требованиям, цветовых решений, способных нанести эстетический ущерб объекту культурного наследия и его архитектурно-исторической среде;</w:t>
      </w:r>
    </w:p>
    <w:p w14:paraId="28EA3D6F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4) размещение на фасадах и крышах инженерного оборудования, инженерных сетей и коммуникаций;</w:t>
      </w:r>
    </w:p>
    <w:p w14:paraId="3D43A384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5) строительство (прокладка) инженерных сетей и коммуникаций надземным способом;</w:t>
      </w:r>
    </w:p>
    <w:p w14:paraId="66E4D0C6" w14:textId="77777777" w:rsidR="00AA2A83" w:rsidRP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A2A83">
        <w:rPr>
          <w:rFonts w:ascii="PT Astra Serif" w:hAnsi="PT Astra Serif"/>
          <w:sz w:val="26"/>
          <w:szCs w:val="26"/>
          <w:u w:val="single"/>
        </w:rPr>
        <w:t>6) размещение парковок и автостоянок;</w:t>
      </w:r>
    </w:p>
    <w:p w14:paraId="329760F6" w14:textId="77777777" w:rsidR="00AA2A83" w:rsidRDefault="00AA2A83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AA2A83">
        <w:rPr>
          <w:rFonts w:ascii="PT Astra Serif" w:hAnsi="PT Astra Serif"/>
          <w:sz w:val="26"/>
          <w:szCs w:val="26"/>
          <w:u w:val="single"/>
        </w:rPr>
        <w:t>7) размещение рекламы и рекламных конструкций, за исключением наружной рекламы, содержащей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определённом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(пространства);</w:t>
      </w:r>
      <w:proofErr w:type="gramEnd"/>
    </w:p>
    <w:p w14:paraId="1BC2B75D" w14:textId="746F8A04" w:rsidR="00917E26" w:rsidRPr="00AE032C" w:rsidRDefault="00696E0C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3CFE4E5" w14:textId="77777777" w:rsidR="00AA2A83" w:rsidRDefault="00AA2A83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proofErr w:type="gramStart"/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E032C">
        <w:rPr>
          <w:rFonts w:ascii="PT Astra Serif" w:hAnsi="PT Astra Serif"/>
          <w:i/>
          <w:sz w:val="26"/>
          <w:szCs w:val="26"/>
        </w:rPr>
        <w:t>есть</w:t>
      </w:r>
      <w:proofErr w:type="gramEnd"/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</w:t>
      </w:r>
      <w:proofErr w:type="gramStart"/>
      <w:r w:rsidRPr="00AE032C">
        <w:rPr>
          <w:rFonts w:ascii="PT Astra Serif" w:hAnsi="PT Astra Serif"/>
          <w:b/>
          <w:sz w:val="26"/>
          <w:szCs w:val="26"/>
        </w:rPr>
        <w:t>методов контроля эффективности выбранного способа достижения целей</w:t>
      </w:r>
      <w:proofErr w:type="gramEnd"/>
      <w:r w:rsidRPr="00AE032C">
        <w:rPr>
          <w:rFonts w:ascii="PT Astra Serif" w:hAnsi="PT Astra Serif"/>
          <w:b/>
          <w:sz w:val="26"/>
          <w:szCs w:val="26"/>
        </w:rPr>
        <w:t xml:space="preserve">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12.7. Описание </w:t>
      </w:r>
      <w:proofErr w:type="gramStart"/>
      <w:r w:rsidRPr="00AE032C">
        <w:rPr>
          <w:rFonts w:ascii="PT Astra Serif" w:hAnsi="PT Astra Serif"/>
          <w:sz w:val="26"/>
          <w:szCs w:val="26"/>
        </w:rPr>
        <w:t>методов контроля эффективности избранного способа достижения целей</w:t>
      </w:r>
      <w:proofErr w:type="gramEnd"/>
      <w:r w:rsidRPr="00AE032C">
        <w:rPr>
          <w:rFonts w:ascii="PT Astra Serif" w:hAnsi="PT Astra Serif"/>
          <w:sz w:val="26"/>
          <w:szCs w:val="26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67CD9932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начало:  </w:t>
      </w:r>
      <w:r w:rsidR="00984FAA">
        <w:rPr>
          <w:rFonts w:ascii="PT Astra Serif" w:hAnsi="PT Astra Serif"/>
          <w:sz w:val="26"/>
          <w:szCs w:val="26"/>
        </w:rPr>
        <w:t>___</w:t>
      </w:r>
      <w:r w:rsidR="00696E0C" w:rsidRPr="00AE032C">
        <w:rPr>
          <w:rFonts w:ascii="PT Astra Serif" w:hAnsi="PT Astra Serif"/>
          <w:sz w:val="26"/>
          <w:szCs w:val="26"/>
        </w:rPr>
        <w:t xml:space="preserve">г.;   </w:t>
      </w:r>
      <w:r w:rsidR="00696E0C" w:rsidRPr="00984FAA">
        <w:rPr>
          <w:rFonts w:ascii="PT Astra Serif" w:hAnsi="PT Astra Serif"/>
          <w:sz w:val="26"/>
          <w:szCs w:val="26"/>
        </w:rPr>
        <w:t>окончание</w:t>
      </w:r>
      <w:r w:rsidR="00984FAA" w:rsidRPr="00984FAA">
        <w:rPr>
          <w:rFonts w:ascii="PT Astra Serif" w:hAnsi="PT Astra Serif"/>
          <w:sz w:val="26"/>
          <w:szCs w:val="26"/>
        </w:rPr>
        <w:t>:</w:t>
      </w:r>
      <w:r w:rsidR="00984FAA">
        <w:rPr>
          <w:rFonts w:ascii="PT Astra Serif" w:hAnsi="PT Astra Serif"/>
          <w:sz w:val="26"/>
          <w:szCs w:val="26"/>
        </w:rPr>
        <w:t xml:space="preserve">  ___</w:t>
      </w:r>
      <w:proofErr w:type="gramStart"/>
      <w:r w:rsidR="00696E0C" w:rsidRPr="00984FAA">
        <w:rPr>
          <w:rFonts w:ascii="PT Astra Serif" w:hAnsi="PT Astra Serif"/>
          <w:sz w:val="26"/>
          <w:szCs w:val="26"/>
        </w:rPr>
        <w:t>г</w:t>
      </w:r>
      <w:proofErr w:type="gramEnd"/>
      <w:r w:rsidR="00696E0C" w:rsidRPr="00984FAA">
        <w:rPr>
          <w:rFonts w:ascii="PT Astra Serif" w:hAnsi="PT Astra Serif"/>
          <w:sz w:val="26"/>
          <w:szCs w:val="26"/>
        </w:rPr>
        <w:t>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77777777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657EB0" w:rsidRPr="00AE032C">
        <w:rPr>
          <w:rFonts w:ascii="PT Astra Serif" w:hAnsi="PT Astra Serif"/>
          <w:sz w:val="26"/>
          <w:szCs w:val="26"/>
          <w:u w:val="single"/>
        </w:rPr>
        <w:t>73@</w:t>
      </w:r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 xml:space="preserve">ачальник управления по охране </w:t>
            </w:r>
            <w:proofErr w:type="gramStart"/>
            <w:r w:rsidR="001B2354" w:rsidRPr="00AE032C">
              <w:rPr>
                <w:rFonts w:ascii="PT Astra Serif" w:hAnsi="PT Astra Serif"/>
                <w:sz w:val="26"/>
                <w:szCs w:val="26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6247EE6E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7C92DF47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42E4948C" w14:textId="127F2AEB" w:rsidR="00696E0C" w:rsidRPr="00AE032C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</w:t>
            </w:r>
            <w:r w:rsidR="00902A07"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CA1E70D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E728CD">
              <w:rPr>
                <w:rFonts w:ascii="PT Astra Serif" w:hAnsi="PT Astra Serif"/>
                <w:sz w:val="26"/>
                <w:szCs w:val="26"/>
              </w:rPr>
              <w:t>_____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08665B2F" w:rsidR="00696E0C" w:rsidRPr="00AE032C" w:rsidRDefault="00E728CD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F930B8">
          <w:rPr>
            <w:rFonts w:ascii="PT Astra Serif" w:hAnsi="PT Astra Serif"/>
            <w:noProof/>
          </w:rPr>
          <w:t>10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D40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345C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585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0DD7"/>
    <w:rsid w:val="00984FAA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2A83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8CD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AB3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0B8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4B38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4056-C461-4DBC-B22C-2A8166BA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2384</Words>
  <Characters>19478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21819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2023-11-14T06:17:00Z</cp:lastPrinted>
  <dcterms:created xsi:type="dcterms:W3CDTF">2025-01-09T11:00:00Z</dcterms:created>
  <dcterms:modified xsi:type="dcterms:W3CDTF">2025-01-09T11:00:00Z</dcterms:modified>
</cp:coreProperties>
</file>