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164FB" w14:textId="77777777" w:rsidR="00452484" w:rsidRPr="00F72024" w:rsidRDefault="00452484" w:rsidP="000377BF">
      <w:pPr>
        <w:pStyle w:val="a3"/>
        <w:jc w:val="center"/>
        <w:rPr>
          <w:rFonts w:ascii="PT Astra Serif" w:hAnsi="PT Astra Serif"/>
          <w:b/>
          <w:color w:val="000000" w:themeColor="text1"/>
          <w:sz w:val="32"/>
          <w:szCs w:val="28"/>
        </w:rPr>
      </w:pPr>
      <w:r w:rsidRPr="00F72024">
        <w:rPr>
          <w:rFonts w:ascii="PT Astra Serif" w:hAnsi="PT Astra Serif"/>
          <w:b/>
          <w:color w:val="000000" w:themeColor="text1"/>
          <w:sz w:val="32"/>
          <w:szCs w:val="28"/>
        </w:rPr>
        <w:t>АГЕНТСТВО ГОСУДАРСТВЕННЫХ ЗАКУПОК УЛЬЯНОВСКОЙ ОБЛАСТИ</w:t>
      </w:r>
    </w:p>
    <w:p w14:paraId="0B6BC389" w14:textId="77777777" w:rsidR="00452484" w:rsidRPr="00F72024" w:rsidRDefault="00452484" w:rsidP="000377BF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p w14:paraId="403903C9" w14:textId="77777777" w:rsidR="00452484" w:rsidRPr="00F72024" w:rsidRDefault="00452484" w:rsidP="000377BF">
      <w:pPr>
        <w:pStyle w:val="a3"/>
        <w:jc w:val="center"/>
        <w:rPr>
          <w:rFonts w:ascii="PT Astra Serif" w:hAnsi="PT Astra Serif"/>
          <w:b/>
          <w:color w:val="000000" w:themeColor="text1"/>
          <w:sz w:val="32"/>
          <w:szCs w:val="28"/>
        </w:rPr>
      </w:pPr>
      <w:r w:rsidRPr="00F72024">
        <w:rPr>
          <w:rFonts w:ascii="PT Astra Serif" w:hAnsi="PT Astra Serif"/>
          <w:b/>
          <w:color w:val="000000" w:themeColor="text1"/>
          <w:sz w:val="32"/>
          <w:szCs w:val="28"/>
        </w:rPr>
        <w:t>П Р И К А З</w:t>
      </w:r>
    </w:p>
    <w:p w14:paraId="66530584" w14:textId="77777777" w:rsidR="00452484" w:rsidRPr="00F72024" w:rsidRDefault="00452484" w:rsidP="000377BF">
      <w:pPr>
        <w:spacing w:after="0" w:line="240" w:lineRule="auto"/>
        <w:rPr>
          <w:rFonts w:ascii="PT Astra Serif" w:hAnsi="PT Astra Serif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52484" w:rsidRPr="00F72024" w14:paraId="344F2297" w14:textId="77777777" w:rsidTr="00452484">
        <w:tc>
          <w:tcPr>
            <w:tcW w:w="4785" w:type="dxa"/>
            <w:hideMark/>
          </w:tcPr>
          <w:p w14:paraId="1A078E71" w14:textId="77777777" w:rsidR="00452484" w:rsidRPr="00F72024" w:rsidRDefault="00452484" w:rsidP="000377BF">
            <w:pPr>
              <w:spacing w:after="0" w:line="240" w:lineRule="auto"/>
              <w:rPr>
                <w:rFonts w:ascii="PT Astra Serif" w:hAnsi="PT Astra Serif"/>
                <w:color w:val="000000" w:themeColor="text1"/>
              </w:rPr>
            </w:pPr>
            <w:r w:rsidRPr="00F72024">
              <w:rPr>
                <w:rFonts w:ascii="PT Astra Serif" w:hAnsi="PT Astra Serif"/>
                <w:color w:val="000000" w:themeColor="text1"/>
              </w:rPr>
              <w:t>_________________</w:t>
            </w:r>
          </w:p>
        </w:tc>
        <w:tc>
          <w:tcPr>
            <w:tcW w:w="4786" w:type="dxa"/>
          </w:tcPr>
          <w:p w14:paraId="2EF057B3" w14:textId="77777777" w:rsidR="00452484" w:rsidRPr="00F72024" w:rsidRDefault="00452484" w:rsidP="000377BF">
            <w:pPr>
              <w:spacing w:after="0" w:line="240" w:lineRule="auto"/>
              <w:jc w:val="right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F72024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№_________________</w:t>
            </w:r>
          </w:p>
          <w:p w14:paraId="55612EEA" w14:textId="77777777" w:rsidR="00452484" w:rsidRPr="00F72024" w:rsidRDefault="00452484" w:rsidP="000377BF">
            <w:pPr>
              <w:spacing w:after="0" w:line="240" w:lineRule="auto"/>
              <w:jc w:val="right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14:paraId="0C51AC64" w14:textId="77777777" w:rsidR="00452484" w:rsidRPr="00F72024" w:rsidRDefault="00452484" w:rsidP="000377BF">
            <w:pPr>
              <w:spacing w:after="0" w:line="240" w:lineRule="auto"/>
              <w:jc w:val="right"/>
              <w:rPr>
                <w:rFonts w:ascii="PT Astra Serif" w:hAnsi="PT Astra Serif"/>
                <w:color w:val="000000" w:themeColor="text1"/>
              </w:rPr>
            </w:pPr>
            <w:r w:rsidRPr="00F72024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  Экз.№____________</w:t>
            </w:r>
          </w:p>
        </w:tc>
      </w:tr>
    </w:tbl>
    <w:p w14:paraId="5AEEBF6A" w14:textId="77777777" w:rsidR="00452484" w:rsidRPr="002B516F" w:rsidRDefault="00452484" w:rsidP="000377BF">
      <w:pPr>
        <w:spacing w:after="0" w:line="240" w:lineRule="auto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14322711" w14:textId="77777777" w:rsidR="00452484" w:rsidRPr="00F72024" w:rsidRDefault="00452484" w:rsidP="000377BF">
      <w:pPr>
        <w:spacing w:after="0" w:line="240" w:lineRule="auto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F72024">
        <w:rPr>
          <w:rFonts w:ascii="PT Astra Serif" w:hAnsi="PT Astra Serif"/>
          <w:color w:val="000000" w:themeColor="text1"/>
          <w:sz w:val="28"/>
          <w:szCs w:val="28"/>
        </w:rPr>
        <w:t>г. Ульяновск</w:t>
      </w:r>
    </w:p>
    <w:p w14:paraId="63117DAE" w14:textId="67A23DA8" w:rsidR="00452484" w:rsidRDefault="00452484" w:rsidP="000377BF">
      <w:pPr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5624552F" w14:textId="77777777" w:rsidR="0092129E" w:rsidRPr="002B516F" w:rsidRDefault="0092129E" w:rsidP="000377BF">
      <w:pPr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tbl>
      <w:tblPr>
        <w:tblW w:w="982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452484" w:rsidRPr="00F72024" w14:paraId="39B4A539" w14:textId="77777777" w:rsidTr="00452484">
        <w:trPr>
          <w:cantSplit/>
          <w:jc w:val="center"/>
        </w:trPr>
        <w:tc>
          <w:tcPr>
            <w:tcW w:w="9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D753A" w14:textId="3BA5D230" w:rsidR="002A3E0E" w:rsidRDefault="00452484" w:rsidP="000377BF">
            <w:pPr>
              <w:pStyle w:val="ConsPlusTitle"/>
              <w:jc w:val="center"/>
              <w:rPr>
                <w:rFonts w:ascii="PT Astra Serif" w:hAnsi="PT Astra Serif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F72024">
              <w:rPr>
                <w:rFonts w:ascii="PT Astra Serif" w:hAnsi="PT Astra Serif" w:cs="Times New Roman"/>
                <w:bCs/>
                <w:color w:val="000000" w:themeColor="text1"/>
                <w:sz w:val="28"/>
                <w:szCs w:val="28"/>
                <w:lang w:eastAsia="en-US"/>
              </w:rPr>
              <w:t>О</w:t>
            </w:r>
            <w:r w:rsidR="00C30D2E">
              <w:rPr>
                <w:rFonts w:ascii="PT Astra Serif" w:hAnsi="PT Astra Serif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б утверждении </w:t>
            </w:r>
            <w:r w:rsidR="00C40B62">
              <w:rPr>
                <w:rFonts w:ascii="PT Astra Serif" w:hAnsi="PT Astra Serif" w:cs="Times New Roman"/>
                <w:bCs/>
                <w:color w:val="000000" w:themeColor="text1"/>
                <w:sz w:val="28"/>
                <w:szCs w:val="28"/>
                <w:lang w:eastAsia="en-US"/>
              </w:rPr>
              <w:t>м</w:t>
            </w:r>
            <w:r w:rsidR="00C30D2E">
              <w:rPr>
                <w:rFonts w:ascii="PT Astra Serif" w:hAnsi="PT Astra Serif"/>
                <w:sz w:val="28"/>
                <w:szCs w:val="28"/>
              </w:rPr>
              <w:t xml:space="preserve">етодических рекомендаций </w:t>
            </w:r>
            <w:r w:rsidR="00C30D2E" w:rsidRPr="00BA6951">
              <w:rPr>
                <w:rFonts w:ascii="PT Astra Serif" w:hAnsi="PT Astra Serif"/>
                <w:sz w:val="28"/>
                <w:szCs w:val="28"/>
              </w:rPr>
              <w:t>об особенностях</w:t>
            </w:r>
            <w:r w:rsidR="00C30D2E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2A3E0E" w:rsidRPr="009120FD">
              <w:rPr>
                <w:rFonts w:ascii="PT Astra Serif" w:hAnsi="PT Astra Serif"/>
                <w:sz w:val="28"/>
              </w:rPr>
              <w:t>состав</w:t>
            </w:r>
            <w:r w:rsidR="0030161D">
              <w:rPr>
                <w:rFonts w:ascii="PT Astra Serif" w:hAnsi="PT Astra Serif"/>
                <w:sz w:val="28"/>
              </w:rPr>
              <w:t>а</w:t>
            </w:r>
            <w:r w:rsidR="002A3E0E" w:rsidRPr="009120FD">
              <w:rPr>
                <w:rFonts w:ascii="PT Astra Serif" w:hAnsi="PT Astra Serif"/>
                <w:sz w:val="28"/>
              </w:rPr>
              <w:t xml:space="preserve"> заявки на закупку строительных работ</w:t>
            </w:r>
          </w:p>
          <w:p w14:paraId="310F797E" w14:textId="3AFE90D2" w:rsidR="00452484" w:rsidRPr="00F72024" w:rsidRDefault="00452484" w:rsidP="000377BF">
            <w:pPr>
              <w:pStyle w:val="ConsPlusTitle"/>
              <w:jc w:val="center"/>
              <w:rPr>
                <w:rFonts w:ascii="PT Astra Serif" w:hAnsi="PT Astra Serif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14:paraId="6A7425CB" w14:textId="77777777" w:rsidR="002A3E0E" w:rsidRDefault="002A3E0E" w:rsidP="002A3E0E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</w:pPr>
    </w:p>
    <w:p w14:paraId="6F94975F" w14:textId="77777777" w:rsidR="00564EFD" w:rsidRDefault="00564EFD" w:rsidP="002A3E0E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0426C2">
        <w:rPr>
          <w:rFonts w:ascii="PT Astra Serif" w:hAnsi="PT Astra Serif"/>
          <w:sz w:val="28"/>
          <w:szCs w:val="28"/>
        </w:rPr>
        <w:t xml:space="preserve"> р и к а з ы в а ю:</w:t>
      </w:r>
    </w:p>
    <w:p w14:paraId="3967F62D" w14:textId="76490B61" w:rsidR="00BA6951" w:rsidRDefault="00564EFD" w:rsidP="00564EFD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 </w:t>
      </w:r>
      <w:r w:rsidRPr="00564EFD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Утвердить прилагаемые </w:t>
      </w:r>
      <w:r w:rsidR="00BA6951" w:rsidRPr="00564EFD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методические рекомендации об особенностях состава заявки на закупку строительных работ.</w:t>
      </w:r>
    </w:p>
    <w:p w14:paraId="667E6329" w14:textId="77777777" w:rsidR="00564EFD" w:rsidRDefault="00564EFD" w:rsidP="00564EFD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2. Настоящий приказ вступает в силу на следующий день после дня его официального опубликования.</w:t>
      </w:r>
    </w:p>
    <w:p w14:paraId="645BF476" w14:textId="77777777" w:rsidR="00BA6951" w:rsidRDefault="00BA6951" w:rsidP="00BA695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36BE4416" w14:textId="77777777" w:rsidR="00BA6951" w:rsidRDefault="00BA6951" w:rsidP="00BA695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3C46C514" w14:textId="77777777" w:rsidR="00BA6951" w:rsidRPr="007F1D35" w:rsidRDefault="00BA6951" w:rsidP="00BA695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0473AAA" w14:textId="77777777" w:rsidR="0092129E" w:rsidRPr="00047672" w:rsidRDefault="0092129E" w:rsidP="0092129E">
      <w:pPr>
        <w:spacing w:after="0" w:line="240" w:lineRule="auto"/>
        <w:rPr>
          <w:rFonts w:ascii="PT Astra Serif" w:hAnsi="PT Astra Serif"/>
          <w:color w:val="000000" w:themeColor="text1"/>
        </w:rPr>
      </w:pPr>
      <w:r w:rsidRPr="00F72024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Руководитель Агентства </w:t>
      </w:r>
      <w:r w:rsidRPr="00F72024">
        <w:rPr>
          <w:rFonts w:ascii="PT Astra Serif" w:hAnsi="PT Astra Serif"/>
          <w:color w:val="000000" w:themeColor="text1"/>
          <w:sz w:val="28"/>
          <w:szCs w:val="28"/>
          <w:lang w:eastAsia="ru-RU"/>
        </w:rPr>
        <w:tab/>
        <w:t xml:space="preserve">                                                           </w:t>
      </w:r>
      <w:proofErr w:type="spellStart"/>
      <w:r w:rsidRPr="00F72024">
        <w:rPr>
          <w:rFonts w:ascii="PT Astra Serif" w:hAnsi="PT Astra Serif"/>
          <w:color w:val="000000" w:themeColor="text1"/>
          <w:sz w:val="28"/>
          <w:szCs w:val="28"/>
          <w:lang w:eastAsia="ru-RU"/>
        </w:rPr>
        <w:t>И.А.Погорелова</w:t>
      </w:r>
      <w:proofErr w:type="spellEnd"/>
    </w:p>
    <w:p w14:paraId="6CF1BEE3" w14:textId="63CAB148" w:rsidR="00957396" w:rsidRDefault="00957396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71FFF7E3" w14:textId="03D5AC6A" w:rsidR="0092129E" w:rsidRDefault="0092129E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3744162E" w14:textId="4A13BAFA" w:rsidR="0092129E" w:rsidRDefault="0092129E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71F8E19C" w14:textId="73F400E0" w:rsidR="0092129E" w:rsidRDefault="0092129E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72D27E18" w14:textId="19AEFFED" w:rsidR="0092129E" w:rsidRDefault="0092129E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699CED61" w14:textId="444B8A9D" w:rsidR="00564EFD" w:rsidRDefault="00564EFD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211183DA" w14:textId="37FBFB5E" w:rsidR="00564EFD" w:rsidRDefault="00564EFD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58E70F54" w14:textId="3343DC9D" w:rsidR="00564EFD" w:rsidRDefault="00564EFD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4D73375F" w14:textId="5820042A" w:rsidR="00564EFD" w:rsidRDefault="00564EFD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5F4C9220" w14:textId="178ED1C9" w:rsidR="00564EFD" w:rsidRDefault="00564EFD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5D12BEAB" w14:textId="33299E3B" w:rsidR="00564EFD" w:rsidRDefault="00564EFD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5EA81DCA" w14:textId="4F89BFBB" w:rsidR="00564EFD" w:rsidRDefault="00564EFD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728D5A4C" w14:textId="33CE0EFF" w:rsidR="00925D93" w:rsidRDefault="00925D93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03220A02" w14:textId="4BE69923" w:rsidR="00925D93" w:rsidRDefault="00925D93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688DA636" w14:textId="1D2E55F0" w:rsidR="00925D93" w:rsidRDefault="00925D93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15A39662" w14:textId="3FCCD7F0" w:rsidR="00925D93" w:rsidRDefault="00925D93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3084DDB7" w14:textId="743A92EA" w:rsidR="00925D93" w:rsidRDefault="00925D93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06230842" w14:textId="09007929" w:rsidR="00925D93" w:rsidRDefault="00925D93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7234E1AC" w14:textId="71C28422" w:rsidR="00925D93" w:rsidRDefault="00925D93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7DAE1AFE" w14:textId="77777777" w:rsidR="00925D93" w:rsidRDefault="00925D93" w:rsidP="00925D93">
      <w:pPr>
        <w:shd w:val="clear" w:color="auto" w:fill="FFFFFF"/>
        <w:spacing w:after="0" w:line="240" w:lineRule="auto"/>
        <w:ind w:left="5387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  <w:r>
        <w:rPr>
          <w:rFonts w:ascii="PT Astra Serif" w:hAnsi="PT Astra Serif"/>
          <w:bCs/>
          <w:color w:val="000000" w:themeColor="text1"/>
          <w:sz w:val="28"/>
          <w:szCs w:val="28"/>
        </w:rPr>
        <w:lastRenderedPageBreak/>
        <w:t>УТВЕРЖДЕНЫ</w:t>
      </w:r>
    </w:p>
    <w:p w14:paraId="1B4E74B1" w14:textId="77777777" w:rsidR="00925D93" w:rsidRDefault="00925D93" w:rsidP="00925D93">
      <w:pPr>
        <w:shd w:val="clear" w:color="auto" w:fill="FFFFFF"/>
        <w:spacing w:after="0" w:line="240" w:lineRule="auto"/>
        <w:ind w:left="5387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2BDF6BDD" w14:textId="77777777" w:rsidR="00925D93" w:rsidRDefault="00925D93" w:rsidP="00925D93">
      <w:pPr>
        <w:shd w:val="clear" w:color="auto" w:fill="FFFFFF"/>
        <w:spacing w:after="0" w:line="240" w:lineRule="auto"/>
        <w:ind w:left="5387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  <w:r>
        <w:rPr>
          <w:rFonts w:ascii="PT Astra Serif" w:hAnsi="PT Astra Serif"/>
          <w:bCs/>
          <w:color w:val="000000" w:themeColor="text1"/>
          <w:sz w:val="28"/>
          <w:szCs w:val="28"/>
        </w:rPr>
        <w:t>приказом Агентства</w:t>
      </w:r>
    </w:p>
    <w:p w14:paraId="3539D4A7" w14:textId="77777777" w:rsidR="00925D93" w:rsidRDefault="00925D93" w:rsidP="00925D93">
      <w:pPr>
        <w:shd w:val="clear" w:color="auto" w:fill="FFFFFF"/>
        <w:spacing w:after="0" w:line="240" w:lineRule="auto"/>
        <w:ind w:left="5387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  <w:r>
        <w:rPr>
          <w:rFonts w:ascii="PT Astra Serif" w:hAnsi="PT Astra Serif"/>
          <w:bCs/>
          <w:color w:val="000000" w:themeColor="text1"/>
          <w:sz w:val="28"/>
          <w:szCs w:val="28"/>
        </w:rPr>
        <w:t>государственных закупок</w:t>
      </w:r>
    </w:p>
    <w:p w14:paraId="069FDC92" w14:textId="77777777" w:rsidR="00925D93" w:rsidRDefault="00925D93" w:rsidP="00925D93">
      <w:pPr>
        <w:shd w:val="clear" w:color="auto" w:fill="FFFFFF"/>
        <w:spacing w:after="0" w:line="240" w:lineRule="auto"/>
        <w:ind w:left="5387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  <w:r>
        <w:rPr>
          <w:rFonts w:ascii="PT Astra Serif" w:hAnsi="PT Astra Serif"/>
          <w:bCs/>
          <w:color w:val="000000" w:themeColor="text1"/>
          <w:sz w:val="28"/>
          <w:szCs w:val="28"/>
        </w:rPr>
        <w:t>Ульяновской области</w:t>
      </w:r>
    </w:p>
    <w:p w14:paraId="3DDD6E9B" w14:textId="77777777" w:rsidR="00925D93" w:rsidRDefault="00925D93" w:rsidP="00925D93">
      <w:pPr>
        <w:shd w:val="clear" w:color="auto" w:fill="FFFFFF"/>
        <w:spacing w:after="0" w:line="240" w:lineRule="auto"/>
        <w:ind w:left="5387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  <w:r>
        <w:rPr>
          <w:rFonts w:ascii="PT Astra Serif" w:hAnsi="PT Astra Serif"/>
          <w:bCs/>
          <w:color w:val="000000" w:themeColor="text1"/>
          <w:sz w:val="28"/>
          <w:szCs w:val="28"/>
        </w:rPr>
        <w:t>от ___ ___________ 2025 г. № _____</w:t>
      </w:r>
    </w:p>
    <w:p w14:paraId="72E91888" w14:textId="77777777" w:rsidR="00925D93" w:rsidRDefault="00925D93" w:rsidP="00925D93">
      <w:pPr>
        <w:shd w:val="clear" w:color="auto" w:fill="FFFFFF"/>
        <w:spacing w:after="0" w:line="240" w:lineRule="auto"/>
        <w:ind w:left="5387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735F0CA5" w14:textId="77777777" w:rsidR="00925D93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2074FDDF" w14:textId="77777777" w:rsidR="00925D93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М</w:t>
      </w:r>
      <w:r w:rsidRPr="0092129E">
        <w:rPr>
          <w:rFonts w:ascii="PT Astra Serif" w:hAnsi="PT Astra Serif"/>
          <w:b/>
          <w:bCs/>
          <w:sz w:val="28"/>
          <w:szCs w:val="28"/>
        </w:rPr>
        <w:t xml:space="preserve">етодические рекомендации </w:t>
      </w:r>
    </w:p>
    <w:p w14:paraId="433C0517" w14:textId="77777777" w:rsidR="00925D93" w:rsidRPr="0092129E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92129E">
        <w:rPr>
          <w:rFonts w:ascii="PT Astra Serif" w:hAnsi="PT Astra Serif"/>
          <w:b/>
          <w:bCs/>
          <w:sz w:val="28"/>
          <w:szCs w:val="28"/>
        </w:rPr>
        <w:t>об особенностях состава заявки на закупку строительных работ</w:t>
      </w:r>
    </w:p>
    <w:p w14:paraId="709C1C38" w14:textId="77777777" w:rsidR="00925D93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2FF37A85" w14:textId="77777777" w:rsidR="00925D93" w:rsidRPr="00564EFD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564EFD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Настоящие методические рекомендации разработаны в соответствии </w:t>
      </w:r>
      <w:r w:rsidRPr="00564EFD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с Федеральным законом от 05.04.2013 № 44-ФЗ «О контрактной системе </w:t>
      </w:r>
      <w:r w:rsidRPr="00564EFD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в сфере закупок товаров, работ, услуг для обеспечения государственных </w:t>
      </w:r>
      <w:r w:rsidRPr="00564EFD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и муниципальных нужд» (далее – Федеральный закон от 05.04.2013 № 44-ФЗ), Положением об Агентстве государственных закупок Ульяновской области, утверждённым постановлением Правительства Ульяновской области </w:t>
      </w:r>
      <w:r w:rsidRPr="00564EFD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от 26.03.2020 № 6/139-П «Об Агентстве государственных закупок Ульяновской области», Градостроительным кодексом Российской Федерации в целях оказания методической помощи государственным органам Ульяновской области, государственным казённым и бюджетным учреждениям Ульяновской области, государственным унитарным предприятиям Ульяновской области, муниципальным органам, муниципальным казённым учреждениям, муниципальным бюджетным учреждениям и муниципальным унитарным предприятиям (далее – заказчики) при осуществлении закупок строительных работ.</w:t>
      </w:r>
    </w:p>
    <w:p w14:paraId="2AB002A1" w14:textId="77777777" w:rsidR="00925D93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3D61AAD0" w14:textId="77777777" w:rsidR="00925D93" w:rsidRPr="00957396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 </w:t>
      </w:r>
      <w:r w:rsidRPr="004B55DA">
        <w:rPr>
          <w:rFonts w:ascii="PT Astra Serif" w:hAnsi="PT Astra Serif"/>
          <w:sz w:val="28"/>
          <w:szCs w:val="28"/>
        </w:rPr>
        <w:t>Общие положения</w:t>
      </w:r>
    </w:p>
    <w:p w14:paraId="66E2BC9C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236A9EB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1.1.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Градостроительный кодекс Российской Федерации (далее –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РФ) закрепляет следующие виды и понятия строительных работ: </w:t>
      </w:r>
    </w:p>
    <w:p w14:paraId="4C57977D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1.1.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Строительство – создание зданий, строений, сооружений (в том числе на месте сносимых объектов капитального строительства).</w:t>
      </w:r>
    </w:p>
    <w:p w14:paraId="575B7B6A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1.1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2.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Реконструкция объектов капитального строительства (за исключением линейных объектов) – изменение параметров объекта капитального строительства, его частей (высоты, количества этажей, площади, объёма), в том числе надстройка, перестройка, расширение объекта капитального строительства, а также замена и (или) восстановление несущих строительных конструкций объекта капитального строительства, за исключением замены отдельных элементов таких конструкций на аналогичные или иные улучшающие показатели таких конструкций элементы и (или) восстановления указанных элементов.</w:t>
      </w:r>
    </w:p>
    <w:p w14:paraId="6B9A65A6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1.1.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3. Реконструкция линейных объектов – изменение параметров линейных объектов или их участков (частей), которое влечёт за собой изменение класса, категории и (или) первоначально установленных показателей функционирования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>таких объектов (мощности, грузоподъёмности и др.) или при котором требуется изменение границ полос отвода и (или) охранных зон таких объектов.</w:t>
      </w:r>
    </w:p>
    <w:p w14:paraId="1D3A90D6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1.1.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4. Капитальный ремонт объектов капитального строительства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(за исключением линейных объектов) –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 конструкций элементы и (или) восстановление указанных элементов.</w:t>
      </w:r>
    </w:p>
    <w:p w14:paraId="6AD31B36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1.1.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5. Капитальный ремонт линейных объектов – изменение параметров линейных объектов или их участков (частей), которое не влечёт за собой изменение класса, категории и (или) первоначально установленных показателей функционирования таких объектов и при котором не требуется изменение границ полос отвода и (или) охранных зон таких объектов.</w:t>
      </w:r>
    </w:p>
    <w:p w14:paraId="3FC7CCAB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1.1.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6. Снос объекта капитального строительства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–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ликвидация объекта капитального строительства путем его разрушения (за исключением разрушения вследствие природных явлений либо противоправных действий третьих лиц), разборки и (или) демонтажа объекта капитального строительства, в том числе его частей.</w:t>
      </w:r>
    </w:p>
    <w:p w14:paraId="6F03A53E" w14:textId="77777777" w:rsidR="00925D93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1.1.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7. Благоустройство территории - деятельность по реализации комплекса мероприятий, установленного правилами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14:paraId="79E735A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Также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выделяет текущие работы при эксплуатации зданий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и сооружений. В соответствии с частями 6, 8, 8.1 статьи 55.24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в целях обеспечения безопасности зданий, сооружений в процессе их эксплуатации должны обеспечиваться техническое обслуживание зданий, сооружений, эксплуатационный контроль, текущий ремонт зданий, сооружений.</w:t>
      </w:r>
    </w:p>
    <w:p w14:paraId="36024ADE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1.2.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Техническое обслуживание зданий, сооружений, текущий ремонт зданий, сооружений проводятся в целях обеспечения надлежащего технического состояния таких зданий, сооружений. Под надлежащим техническим состоянием зданий, сооружений понимаются поддержание параметров устойчивости, надежности зданий, сооружений, а также исправность строительных конструкций, систем инженерно-технического обеспечения, сетей инженерно-технического обеспечения, их элементов в соответствии с требованиями технических регламентов, проектной документации.</w:t>
      </w:r>
    </w:p>
    <w:p w14:paraId="10FF029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При проведении текущего ремонта зданий, сооружений может осуществляться замена и (или) восстановление отдельных элементов строительных конструкций таких зданий, сооружений (за исключением элементов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 xml:space="preserve">несущих строительных конструкций), элементов систем инженерно-технического обеспечения и сетей инженерно-технического обеспечения таких зданий, сооружений, в случаях, определённых постановлением Правительства РФ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от 30.11.2021 № 2120 «Об осуществлении замены и (или) восстановления отдельных элементов строительных конструкций зданий, сооружений, элементов систем инженерно-технического обеспечения и сетей инженерно-технического обеспечения при проведении текущего ремонта зданий, сооружений».</w:t>
      </w:r>
    </w:p>
    <w:p w14:paraId="2213097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При определении вида ремонта (текущий или капитальный) также можно руководствоваться действующими актами Госстроя России.</w:t>
      </w:r>
    </w:p>
    <w:p w14:paraId="4F5ECCF5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1.3.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Перечень основных работ, проводимых при текущем и капитальном ремонте жилых зданий, объектов коммунального и социально-культурного назначения, приведён в Приложениях №№ 7 и 9 документа «ВСН 58-88(р). Ведомственные строительные нормы. Положение об организации и проведении реконструкции, ремонта и технического обслуживания зданий, объектов коммунального и социально-культурного назначения», утверждённого Приказом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Госкомархитектуры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России при Госстрое СССР от 23.11.1988 № 312.</w:t>
      </w:r>
    </w:p>
    <w:p w14:paraId="02E9ABB9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При отнесении ремонтных работ к определённому виду в отношении автомобильных дорог можно руководствоваться приказом Минтранса России от 16.11.2012 № 402 «Об утверждении Классификации работ по капитальному ремонту, ремонту и содержанию автомобильных дорог».</w:t>
      </w:r>
    </w:p>
    <w:p w14:paraId="596D8E1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1.4.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Объектами строительства, реконструкции, капитального и текущего ремонта, сноса могут выступать: </w:t>
      </w:r>
    </w:p>
    <w:p w14:paraId="5AF0861C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– объект капитального строительства - здание, строение, сооружение, объекты, строительство которых не завершено, за исключением некапитальных строений, сооружений и неотделимых улучшений земельного участка (замощение, покрытие и другие);</w:t>
      </w:r>
    </w:p>
    <w:p w14:paraId="5855BFC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– 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14:paraId="6CAB2CCD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– некапитальные строения, сооружения - строения, сооружения, которые не имеют прочной связи с землей и конструктивные характеристики которых позволяют осуществить их перемещение и (или) демонтаж и последующую сборку без несоразмерного ущерба назначению и без изменения основных характеристик строений, сооружений (в том числе киосков, навесов и других подобных строений, сооружений);</w:t>
      </w:r>
    </w:p>
    <w:p w14:paraId="7DE2A9CF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Также статьёй 48.1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определяются особо опасные, технически сложные и уникальные объекты.</w:t>
      </w:r>
    </w:p>
    <w:p w14:paraId="7B99556B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1.5.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Заказчикам следует учитывать, что требования к проведению вышеуказанных строительных работ, требования к подрядчику, а также порядок проведения процедуры закупки будут зависеть от вида выполняемых работ и вида объекта: </w:t>
      </w:r>
    </w:p>
    <w:p w14:paraId="446EE760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1.5.1. С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огласно части 1 статьи 55.8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индивидуальный предприниматель или юридическое лицо имеет право выполнять строительство, реконструкцию, капитальный ремонт, снос объектов капитального строительства по договору строительного подряда, по договору подряда на осуществление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 xml:space="preserve">сноса, заключённым с застройщиком, техническим заказчиком, лицом, ответственным за эксплуатацию здания, сооружения, или региональным оператором, при условии, что такой индивидуальный предприниматель или такое юридическое лицо является членом соответственно саморегулируемой организации в области строительства, реконструкции, капитального ремонта, сноса объектов капитального строительства, если иное не установлено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РФ.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При проведении работ по текущему ремонту, благоустройству, содержанию вступать в саморегулируемые организации не требуется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;</w:t>
      </w:r>
    </w:p>
    <w:p w14:paraId="6DAF314D" w14:textId="77777777" w:rsidR="00925D93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1.5.2. Ф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едеральный закон от 05.04.2013 № 44-ФЗ устанавливает особенный порядок проведения закупок таких работ, как строительство, реконструкция, капитальный ремонт, снос объектов капитального строительства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;</w:t>
      </w:r>
    </w:p>
    <w:p w14:paraId="75035898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1.5.3.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Постановление Правительства РФ от 29.12.2021 № 2571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 «</w:t>
      </w:r>
      <w:r w:rsidRPr="00735131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О требованиях к участникам закупки товаров, работ, услуг для обеспечения государственных и муниципальных нужд и признании утратившими силу некоторых актов и отдельных положений актов Правительства Российской Федерации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» устанавливает дополнительные требования исходя из вида строительных работ и вида объекта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;</w:t>
      </w:r>
    </w:p>
    <w:p w14:paraId="1C6AC8B7" w14:textId="77777777" w:rsidR="00925D93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1.5.4.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Постановление Правительства РФ от 31.12.2021 № 2604 «Об оценке заявок на участие в закупке товаров, работ, услуг для обеспечения государственных и муниципальных нужд, внесении изменений в пункт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4 постановления Правительства Российской Федерации от 20 декабря 2021 г.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№ 2369 и признании утратившими силу некоторых актов и отдельных положений некоторых актов Правительства Российской Федерации» устанавливает порядок оценки заявок на участие в конкурсе исходя из вида строительных работ и вида объекта. </w:t>
      </w:r>
    </w:p>
    <w:p w14:paraId="47A2D3F2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1.6. П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ри формировании планов-графиков и заявок на закупку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в наименовании объекта закупки заказчику следует указать конкретный вид строительных работ: строительство, реконструкция, капитальный ремонт, снос, текущий ремонт или благоустройство территории.</w:t>
      </w:r>
    </w:p>
    <w:p w14:paraId="4CA9BEFC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27109BBF" w14:textId="77777777" w:rsidR="00925D93" w:rsidRPr="00957396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2.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Проектная документация</w:t>
      </w:r>
    </w:p>
    <w:p w14:paraId="4333ABD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3053BBC2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2.1.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Лицо, осуществляющее строительство, обязано осуществлять строительство, реконструкцию, капитальный ремонт объекта капитального строительства в соответствии с заданием застройщика, технического заказчика, лица, ответственного за эксплуатацию здания, сооружения, или регионального оператора (в случае осуществления строительства, реконструкции, капитального ремонта на основании договора строительного подряда), проектной документацией, требованиями к строительству, реконструкции объекта капитального строительства, установленными на дату выдачи представленного для получения разрешения на строительство градостроительного плана земельного участка, разрешённым использованием земельного участка, ограничениями, установленными в соответствии с земельным и иным законодательством Российской Федерации, требованиями технических регламентов и при этом обеспечивать безопасность работ для третьих лиц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>и окружающей среды, выполнение требований безопасности труда, сохранности объектов культурного наследия.</w:t>
      </w:r>
    </w:p>
    <w:p w14:paraId="1756CFDB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2.2.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Проектная документация представляет собой 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</w:p>
    <w:p w14:paraId="7870B7E2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Подготовка проектной документации осуществляется на основании задания застройщика или технического заказчика (при подготовке проектной документации на основании договора подряда на подготовку проектной документации), результатов инженерных изысканий, информации, указанной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в градостроительном плане земельного участка,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регламентов, техническими условиями, разрешением на отклонение от предельных параметров разрешённого строительства, реконструкции объектов капитального строительства.</w:t>
      </w:r>
    </w:p>
    <w:p w14:paraId="174B433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Согласно части 12.2 статьи 48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в случае проведения капитального ремонта объектов капитального строительства, финансируемого с привлечением средств бюджетов бюджетной системы Российской Федерации, средств лиц, указанных в части 1 статьи 8.3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РФ, осуществляется подготовка сметы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на капитальный ремонт объектов капитального строительств. Застройщик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по собственной инициативе вправе обеспечить подготовку иных разделов проектной документации, а также подготовку проектной документации при проведении капитального ремонта объектов капитального строительства в иных случаях, не указанных в настоящей части.</w:t>
      </w:r>
    </w:p>
    <w:p w14:paraId="3D5DDD29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2.3.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Состав и требования к содержанию разделов проектной документации устанавливаются Правительством Российской Федерации (часть 13 статьи 48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РФ) – постановление Правительства Российской Федерации от 16.02.2008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№ 87 «О составе разделов проектной документации и требованиях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к их содержанию».</w:t>
      </w:r>
    </w:p>
    <w:p w14:paraId="54FA3B5F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В целях сноса объекта капитального строительства застройщик или технический заказчик обеспечивает подготовку проекта организации работ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по сносу объекта капитального строительства в качестве самостоятельного документа, за исключением случаев, предусмотренных частями 3 и </w:t>
      </w:r>
      <w:hyperlink r:id="rId8" w:history="1">
        <w:r w:rsidRPr="00957396">
          <w:rPr>
            <w:rFonts w:ascii="PT Astra Serif" w:eastAsiaTheme="minorHAnsi" w:hAnsi="PT Astra Serif" w:cs="PT Astra Serif"/>
            <w:color w:val="000000" w:themeColor="text1"/>
            <w:sz w:val="28"/>
            <w:szCs w:val="28"/>
          </w:rPr>
          <w:t>8</w:t>
        </w:r>
      </w:hyperlink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статьи 55.30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РФ. Подготовка проекта организации работ по сносу объекта капитального строительства осуществляется специалистом по организации архитектурно-строительного проектирования, сведения о котором включены в национальный реестр специалистов в области архитектурно-строительного проектирования.</w:t>
      </w:r>
    </w:p>
    <w:p w14:paraId="1EC47E4F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2.4. В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составе заявки на закупку заказчик представляет:</w:t>
      </w:r>
    </w:p>
    <w:p w14:paraId="732E6B85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при строительстве и реконструкции объектов капитального строительства – проектную документацию, утверждённую в порядке, установленном законодательством о градостроительной деятельности, или типовую проектную документацию в полном объёме;</w:t>
      </w:r>
    </w:p>
    <w:p w14:paraId="56DFD0D1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>при капитальном ремонте – смету на капитальный ремонт объекта капитального строительства и проектную документацию, в случае разработки отдельных разделов проектной документации в зависимости от содержания работ, выполняемых при капитальном ремонте объектов капитального строительства;</w:t>
      </w:r>
    </w:p>
    <w:p w14:paraId="635AB35F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при сносе объекта капитального строительства – смету и проект организации работ по сносу объекта капитального строительства;</w:t>
      </w:r>
    </w:p>
    <w:p w14:paraId="29A02E5C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при текущем ремонте – смету, при необходимости ведомость объёмов работ (дефектная ведомость), эскизы конструкций, схемы и т.п.</w:t>
      </w:r>
    </w:p>
    <w:p w14:paraId="011F5A0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2ACCEFB8" w14:textId="77777777" w:rsidR="00925D93" w:rsidRPr="00957396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Экспертиза проектной документации</w:t>
      </w:r>
    </w:p>
    <w:p w14:paraId="13153C6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30BA7F70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3.1.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Проектная документация объектов капитального строительства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и результаты инженерных изысканий, выполненных для подготовки такой проектной документации, подлежат экспертизе, за исключением случаев, предусмотренных частями 2, 3, 3.1 и 3.8 статьи 49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РФ. </w:t>
      </w:r>
    </w:p>
    <w:p w14:paraId="7DB7C93B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3.2.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Экспертиза проектной документации и (или) экспертиза результатов инженерных изысканий проводятся в форме государственной экспертизы или негосударственной экспертизы. </w:t>
      </w:r>
    </w:p>
    <w:p w14:paraId="0EAFE751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3.3.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Заказчик в случаях, предусмотренных частями 1.1 и 1.2 статьи 48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РФ,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экспертизу, за исключением случаев, если в отношении проектной документации объектов капитального строительства и результатов инженерных изысканий, выполненных для подготовки такой проектной документации, предусмотрено проведение государственной экспертизы.</w:t>
      </w:r>
    </w:p>
    <w:p w14:paraId="0D49C880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3.4.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Проектная документация объектов капитального строительства, указанных в части 2 статьи 49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РФ, проектная документация, указанная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в части 3 статьи 49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РФ, и результаты инженерных изысканий, выполненных для подготовки такой проектной документации:</w:t>
      </w:r>
    </w:p>
    <w:p w14:paraId="629D8135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3.4.1. П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одлежат государственной экспертизе в случаях, если сметная стоимость строительства, реконструкции, капитального ремонта объектов капитального строительства в соответствии с требованиями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подлежит проверке на предмет достоверности ее определения;</w:t>
      </w:r>
    </w:p>
    <w:p w14:paraId="4F72BC9F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3.4.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2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П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о собственной инициативе застройщика или технического заказчика могут быть направлены на государственную или негосударственную экспертизу, за исключением случаев, указанных в пункте 1 статьи 48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РФ.</w:t>
      </w:r>
    </w:p>
    <w:p w14:paraId="7FBB0EF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3.5.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Государственной экспертизе подлежат проектная документация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и результаты инженерных изысканий, выполненных для подготовки такой документации, следующих объектов:</w:t>
      </w:r>
    </w:p>
    <w:p w14:paraId="463995C2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3.5.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О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бъекты, указанные в пункте 5.1 части 1 статьи 6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РФ;</w:t>
      </w:r>
    </w:p>
    <w:p w14:paraId="2A331BB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3.5.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2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О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бъекты, сметная стоимость строительства, реконструкции, капитального ремонта которых в соответствии с требованиями настоящего Кодекса подлежит проверке на предмет достоверности ее определения,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за исключением случаев строительства, реконструкции, капитального ремонта линейных объектов и сооружений на них для выполнения мероприятий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>по подключению (технологическому присоединению) объектов капитального строительства к сетям газораспределения;</w:t>
      </w:r>
    </w:p>
    <w:p w14:paraId="05BA9545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3.5.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О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бъекты культурного наследия регионального и местного значения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(в случае, если при проведении работ по сохранению объекта культурного наследия регионального или местного значения затрагиваются конструктивные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и другие характеристики надежности и безопасности указанного объекта);</w:t>
      </w:r>
    </w:p>
    <w:p w14:paraId="61FD397A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3.5.4. О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бъекты, строительство, реконструкцию которых предполагается осуществлять в границах особо охраняемых природных территорий;</w:t>
      </w:r>
    </w:p>
    <w:p w14:paraId="4A92ED1D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3.5.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5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О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бъекты размещения отходов, объекты обезвреживания отходов;</w:t>
      </w:r>
    </w:p>
    <w:p w14:paraId="019F4BAE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3.5.6. О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бъекты, строительство, реконструкцию которых предполагается осуществлять на территориях двух и более субъектов Российской Федерации, включая осуществляемую на территории одного субъекта Российской Федерации реконструкцию объектов, расположенных на территориях двух и более субъектов Российской Федерации.</w:t>
      </w:r>
    </w:p>
    <w:p w14:paraId="5726F30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3.6.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Экспертиза проектной документации по решению застройщика может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не проводиться в отношении изменений, внесенных в проектную документацию, получившую положительное заключение экспертизы проектной документации, если такие изменения одновременно:</w:t>
      </w:r>
    </w:p>
    <w:p w14:paraId="0C4642D1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3.6.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Н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е затрагивают несущие строительные конструкции объекта капитального строительства, за исключением замены отдельных элементов таких конструкций на аналогичные или иные улучшающие показатели таких конструкций элементы;</w:t>
      </w:r>
    </w:p>
    <w:p w14:paraId="7E7E00BF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3.6.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2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Н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е влекут за собой изменение класса, категории и (или) первоначально установленных показателей функционирования линейных объектов;</w:t>
      </w:r>
    </w:p>
    <w:p w14:paraId="42EFA1C3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3.6.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Н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е приводят к нарушениям требований технических регламентов, санитарно-эпидемиологических требований, требований в области охраны окружающей среды, требований государственной охраны объектов культурного наследия, требований к безопасному использованию атомной энергии, требований промышленной безопасности, требований к обеспечению надежности и безопасности электроэнергетических систем и объектов электроэнергетики, требований антитеррористической защищенности объекта;</w:t>
      </w:r>
    </w:p>
    <w:p w14:paraId="7E1D91C6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3.6.4. С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оответствуют заданию застройщика или технического заказчика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на проектирование, а также результатам инженерных изысканий;</w:t>
      </w:r>
    </w:p>
    <w:p w14:paraId="4F6E5443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3.6.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5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С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оответствуют установленной в решении о предоставлении бюджетных ассигнований на осуществление капитальных вложений, принятом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в отношении объекта капитального строительства государственной (муниципальной) собственности в установленном порядке, стоимости строительства (реконструкции) объекта капитального строительства, осуществляемого за счет средств бюджетов бюджетной системы Российской Федерации.</w:t>
      </w:r>
    </w:p>
    <w:p w14:paraId="56A3679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3.7.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Организацией, уполномоченной на проведение государственной экспертизы проектной документации и результатов инженерных изысканий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на территории Ульяновской области является областное автономное учреждение «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Ульяновскгосэкспертиза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», что установлено постановлением Правительства Ульяновской области от 07.07.2020 № 347-П «Об определении организации,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>уполномоченной на проведение государственной экспертизы проектной документации и результатов инженерных изысканий на территории Ульяновской области».</w:t>
      </w:r>
    </w:p>
    <w:p w14:paraId="55C97F6B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2E29FFDE" w14:textId="77777777" w:rsidR="00925D93" w:rsidRPr="00957396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4.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Проверка достоверности определения сметной стоимости</w:t>
      </w:r>
    </w:p>
    <w:p w14:paraId="1C49B2E1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5260234D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Согласно части 2 статьи 8.3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в случае, если сметная стоимость строительства, финансируемого с привлечением средств бюджетов бюджетной системы Российской Федерации, средств юридических лиц, созданных Российской Федерацией, субъектами Российской Федерации, муниципальными образованиями, юридических лиц, доля в уставных (складочных) капиталах которых Российской Федерации, субъектов Российской Федерации, муниципальных образований составляет более 50 процентов, превышает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10 (десять) миллионов рублей, указанная сметная стоимость строительства подлежит проверке на предмет достоверности ее определения в ходе проведения государственной экспертизы проектной документации. При проведении капитального ремонта объектов капитального строительства указанная сметная стоимость подлежит такой проверке в случаях, установленных постановлением Правительства Российской Федерации от 05.03.2007 № 145 «О порядке организации и проведения государственной экспертизы проектной документации и результатов инженерных изысканий». В случае, если указанная сметная стоимость строительства не превышает десять миллионов рублей, указанная сметная стоимость строительства подлежит такой проверке, если это предусмотрено договором.</w:t>
      </w:r>
    </w:p>
    <w:p w14:paraId="4D37185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55AD9380" w14:textId="77777777" w:rsidR="00925D93" w:rsidRPr="00957396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5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 Установление требований к участникам закупок о наличии членства</w:t>
      </w:r>
    </w:p>
    <w:p w14:paraId="7F0083CA" w14:textId="77777777" w:rsidR="00925D93" w:rsidRPr="00957396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в саморегулируемых организациях</w:t>
      </w:r>
    </w:p>
    <w:p w14:paraId="51CCEAF8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3D5F1F69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5.1.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В соответствии с пунктом 1 части 1 статьи 31 Федерального закона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от 05.04.2013 № 44-ФЗ при осуществлении закупки заказчик устанавливает единые требования к участникам закупки, в том числе соответствие требованиям, установленным в соответствии с законодательством Российской Федерации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к лицам, осуществляющим поставку товара, выполнение работы, оказание услуги, являющихся объектом закупки.</w:t>
      </w:r>
    </w:p>
    <w:p w14:paraId="0544C78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5.2.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Согласно части 1 статьи 55.8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индивидуальный предприниматель или юридическое лицо имеет право выполнять строительство, реконструкцию, капитальный ремонт, снос объектов капитального строительства по договору строительного подряда, по договору подряда на осуществление сноса, заключённым с застройщиком, техническим заказчиком, лицом, ответственным за эксплуатацию здания, сооружения, или региональным оператором, при условии, что такой индивидуальный предприниматель или такое юридическое лицо является членом саморегулируемой организации в области строительства, реконструкции, капитального ремонта, сноса объектов капитального строительства, если иное не установлено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РФ.</w:t>
      </w:r>
    </w:p>
    <w:p w14:paraId="3AA74B5A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 xml:space="preserve">Например, исключение установлено в соответствии со статьёй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52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для:</w:t>
      </w:r>
    </w:p>
    <w:p w14:paraId="3F029636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подрядчиков, выполняющих строительно-монтажные работы по договорам на сумму не более 10 миллионов рублей;</w:t>
      </w:r>
    </w:p>
    <w:p w14:paraId="6149594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унитарных предприятий, государственных и муниципальных учреждений, юридических лиц с государственным участием, но только по видам контрактов, описанных в </w:t>
      </w:r>
      <w:hyperlink r:id="rId9" w:history="1">
        <w:r w:rsidRPr="00957396">
          <w:rPr>
            <w:rFonts w:ascii="PT Astra Serif" w:eastAsiaTheme="minorHAnsi" w:hAnsi="PT Astra Serif" w:cs="PT Astra Serif"/>
            <w:color w:val="000000" w:themeColor="text1"/>
            <w:sz w:val="28"/>
            <w:szCs w:val="28"/>
          </w:rPr>
          <w:t>частях 2.2 статьи 52</w:t>
        </w:r>
      </w:hyperlink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РФ.</w:t>
      </w:r>
    </w:p>
    <w:p w14:paraId="55F2D375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Также субподрядчики не обязаны состоять в СРО (</w:t>
      </w:r>
      <w:hyperlink r:id="rId10" w:history="1">
        <w:r w:rsidRPr="00957396">
          <w:rPr>
            <w:rFonts w:ascii="PT Astra Serif" w:eastAsiaTheme="minorHAnsi" w:hAnsi="PT Astra Serif" w:cs="PT Astra Serif"/>
            <w:color w:val="000000" w:themeColor="text1"/>
            <w:sz w:val="28"/>
            <w:szCs w:val="28"/>
          </w:rPr>
          <w:t xml:space="preserve">часть 2 статьи </w:t>
        </w:r>
        <w:r>
          <w:rPr>
            <w:rFonts w:ascii="PT Astra Serif" w:eastAsiaTheme="minorHAnsi" w:hAnsi="PT Astra Serif" w:cs="PT Astra Serif"/>
            <w:color w:val="000000" w:themeColor="text1"/>
            <w:sz w:val="28"/>
            <w:szCs w:val="28"/>
          </w:rPr>
          <w:t xml:space="preserve">                              </w:t>
        </w:r>
        <w:r w:rsidRPr="00957396">
          <w:rPr>
            <w:rFonts w:ascii="PT Astra Serif" w:eastAsiaTheme="minorHAnsi" w:hAnsi="PT Astra Serif" w:cs="PT Astra Serif"/>
            <w:color w:val="000000" w:themeColor="text1"/>
            <w:sz w:val="28"/>
            <w:szCs w:val="28"/>
          </w:rPr>
          <w:t>52</w:t>
        </w:r>
      </w:hyperlink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РФ).</w:t>
      </w:r>
    </w:p>
    <w:p w14:paraId="5FA70119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Минимальный размер взноса в компенсационный фонд возмещения вреда должен быть сформирован в соответствии с требованиями ч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асти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12 ст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атьи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55.16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РФ. Минимальный размер взноса в компенсационный фонд обеспечения договорных обязательств должен быть сформирован в соответствии с требованиями ч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асти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13 ст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атьи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55.16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РФ.</w:t>
      </w:r>
    </w:p>
    <w:p w14:paraId="24E214DE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5.3. </w:t>
      </w:r>
      <w:proofErr w:type="spellStart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ГрК</w:t>
      </w:r>
      <w:proofErr w:type="spellEnd"/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РФ прямо не определён документ, подтверждающий членство юридического лица или индивидуального предпринимателя в СРО. Вместе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с тем, раздел III Регламента ведения единого реестра сведений о членах саморегулируемых организаций в области строительства, реконструкции, капитального ремонта, сноса объектов капитального строительства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и их обязательствах, утвержденного Советом Ассоциации «Национальное объединение строителей», протокол от 16 августа 2022 г. № 193, предусматривает возможность предоставления сведений по запросам заинтересованных лиц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из Единого реестра: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</w:t>
      </w:r>
    </w:p>
    <w:p w14:paraId="10475AFF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5.3.1. В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ыписки из Единого реестра сведений о членах саморегулируемых организаций в области строительства, реконструкции, капитального ремонта, сноса объектов капитального строительства и их обязательствах (далее – Единый реестр) </w:t>
      </w:r>
    </w:p>
    <w:p w14:paraId="1C7AB40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5.3.2. В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ыписки из реестра членов саморегулируемой организации, основанной на членстве лиц, осуществляющих строительство, реконструкцию, снос объектов капитального строительства, в составе Единого реестра. </w:t>
      </w:r>
    </w:p>
    <w:p w14:paraId="2A58CCF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5.4.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В соответствии с совместным письмом Минфина России от 03.10.2022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№ 24-01-07/95279 и Минстроя России от 03.10.2022 № Б0737-СИ/02 требования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к подтверждающему членство юридического лица или индивидуального предпринимателя в СРО документу не устанавливаются, такой документ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в заявке на участие в закупке не предоставляется. В случае отсутствия сведений об участнике закупке в Едином реестре сведений о членах саморегулируемых организаций в области строительства, реконструкции, капитального ремонта, сноса объектов капитального строительства и их обязательствах, заявка такого участника закупки отклоняется в связи с несоответствием участника закупки требованиям, установленным в извещении об осуществлении закупки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в соответствии с частью 1 статьи 31 Федерального закона от 05.04.2013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№ 44-ФЗ.</w:t>
      </w:r>
    </w:p>
    <w:p w14:paraId="2BBB7BC4" w14:textId="77777777" w:rsidR="00925D93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5287E0D9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41C9CC15" w14:textId="77777777" w:rsidR="00925D93" w:rsidRPr="00957396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>6.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Способы определения поставщиков (подрядчиков, исполнителей)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на закупку строительных работ</w:t>
      </w:r>
    </w:p>
    <w:p w14:paraId="75A72701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2890485A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6.1.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В силу части 1 статьи 24 Федерального закона от 05.04.2013 № 44-ФЗ заказчики при осуществлении закупки строительных работ используют конкурентные способы определения поставщика (подрядчика, исполнителя) (электронный аукцион, электронный конкурс, запрос котировок в электронной форме) или осуществляют закупки у единственного поставщика (подрядчика, исполнителя) с учётом особенностей, регламентированных Федеральным законом от 05.04.2013 № 44-ФЗ.</w:t>
      </w:r>
    </w:p>
    <w:p w14:paraId="42346941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6.2.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При проведении закупок строительных работ с начальной (максимальной) ценой контракта, не превышающей девяносто миллионов рублей, определение поставщика (подрядчика, исполнителя) рекомендуется осуществлять путём проведения открытого аукциона в электронной форме.</w:t>
      </w:r>
    </w:p>
    <w:p w14:paraId="6FB6C42B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Размер начальной (максимальной) цены контракта определён исходя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из первого уровня ответственности члена саморегулируемой организации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по компенсационному фонду возмещения вреда, при котором стоимость строительства, реконструкции (в том числе снос объекта капитального строительства, его частей в процессе строительства, реконструкции), капитального ремонта объекта капитального строительства по одному договору не превышает девяносто миллионов рублей.</w:t>
      </w:r>
    </w:p>
    <w:p w14:paraId="5190927E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6.3.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В закупках с небольшой ценой контракта соответствие участника закупки требованиям к члену саморегулируемой организации и дополнительным требованиям к наличию опыта работы, связанного с предметом контракта, установленным в соответствии с постановлением Правительства РФ от 29.12.2021 № 2571 «О требованиях к участникам закупки товаров, работ, услуг для обеспечения государственных и муниципальных нужд и признании утратившими силу некоторых актов и отдельных положений актов Правительства Российской Федерации», является вполне достаточным для обеспечения квалификации подрядчика.</w:t>
      </w:r>
    </w:p>
    <w:p w14:paraId="3250C2C4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6.4. П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ри проведении открытого аукциона в электронной форме заказчиком не создаётся преимущественное положение конкретного лица,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и обеспечиваются равные условия для обеспечения конкуренции между участниками закупок.</w:t>
      </w:r>
    </w:p>
    <w:p w14:paraId="5F4CAE9F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1BD3E64D" w14:textId="77777777" w:rsidR="00925D93" w:rsidRPr="00957396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7.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Критерии оценки заявок на участие в электронном конкурсе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на закупку строительных работ</w:t>
      </w:r>
    </w:p>
    <w:p w14:paraId="2B36D7F7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</w:p>
    <w:p w14:paraId="7207D6D9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7.1.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В соответствии с частью 8 статьи 32 Федерального закона от 05.04.2013 № 44-ФЗ порядок оценки заявок участников закупки, в том числе предельные величины значимости каждого критерия, устанавливаются правилами оценки, утверждёнными постановлением Правительства РФ от 31.12.2021 № 2604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 xml:space="preserve">«Об оценке заявок на участие в закупке товаров, работ, услуг для обеспечения государственных и муниципальных нужд, внесении изменений в пункт 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                                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4 постановления Правительства Российской Федерации от 20 декабря 2021 г.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lastRenderedPageBreak/>
        <w:t>№ 2369 и признании утратившими силу некоторых актов и отдельных положений некоторых актов Правительства Российской Федерации» (далее – Правила оценки).</w:t>
      </w:r>
    </w:p>
    <w:p w14:paraId="31CA44E9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7.2.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При установлении критериев оценки при проведении открытого конкурса в электронной форме на осуществление строительных работ, необходимо учитывать, что согласно пунктам 31 – 33 Правил оценки:</w:t>
      </w:r>
    </w:p>
    <w:p w14:paraId="37C25EB6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7.2.1. К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ритерии оценки «Расходы» и «Характеристики объекта закупки»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не применяются;</w:t>
      </w:r>
    </w:p>
    <w:p w14:paraId="36B82B35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7.2.2. Д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ля оценки заявок по критерию «Квалификация участников закупки» подлежит обязательному применению исключительно показатель оценки «Наличие у участников закупки опыта поставки товара, выполнения работы, оказания услуги, связанного с предметом контракта».</w:t>
      </w:r>
    </w:p>
    <w:p w14:paraId="525E67D8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7.3.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В соответствии с пунктом 28 Правил оценки в случае применения показателя оценки «Наличие у участников закупки опыта поставки товара, выполнения работы, оказания услуги, связанного с предметом контракта» применяются один или несколько из следующих детализирующих показателей оценки:</w:t>
      </w:r>
    </w:p>
    <w:p w14:paraId="0AC2B046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общая цена исполненных участником закупки договоров;</w:t>
      </w:r>
    </w:p>
    <w:p w14:paraId="69F128FF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общее количество исполненных участником закупки договоров;</w:t>
      </w:r>
    </w:p>
    <w:p w14:paraId="63BEA7FC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наибольшая цена одного из исполненных участником закупки договоров;</w:t>
      </w:r>
    </w:p>
    <w:p w14:paraId="243F5739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Оценка заявок по вышеуказанным детализирующим показателям осуществляется в порядке, установленном пунктами 20 и 21 Правил оценки, применение шкалы оценки не допускается.</w:t>
      </w:r>
    </w:p>
    <w:p w14:paraId="2D01F608" w14:textId="77777777" w:rsidR="00925D93" w:rsidRPr="00957396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7.4.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Заказчику рекомендуется использовать сочетание детализирующих показателей оценки, а также устанавливать предельное максимальное количественное значение детализирующего показателя, сопоставимое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br/>
        <w:t>с условиями проводимой закупки с учётом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положений приказа Агентства государственных закупок </w:t>
      </w:r>
      <w:r w:rsidRPr="00B97520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от ___________ 2025 года № ___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 xml:space="preserve"> «Об утверждении 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Методических рекомендаций об отдельных особенностях разработки порядка оценки заявок на участие в конкурсах</w:t>
      </w:r>
      <w:r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»</w:t>
      </w:r>
      <w:r w:rsidRPr="00957396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.</w:t>
      </w:r>
    </w:p>
    <w:p w14:paraId="3F485FF5" w14:textId="77777777" w:rsidR="00925D93" w:rsidRDefault="00925D93" w:rsidP="00925D93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</w:pPr>
    </w:p>
    <w:p w14:paraId="569605AE" w14:textId="77777777" w:rsidR="00925D93" w:rsidRDefault="00925D93" w:rsidP="00925D93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</w:pPr>
    </w:p>
    <w:p w14:paraId="5464CF95" w14:textId="77777777" w:rsidR="00925D93" w:rsidRDefault="00925D93" w:rsidP="00925D93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</w:pPr>
    </w:p>
    <w:p w14:paraId="3A7C6C22" w14:textId="77777777" w:rsidR="00925D93" w:rsidRPr="00F72024" w:rsidRDefault="00925D93" w:rsidP="00925D93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</w:pPr>
      <w:r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>______________</w:t>
      </w:r>
    </w:p>
    <w:p w14:paraId="524D287F" w14:textId="77777777" w:rsidR="00925D93" w:rsidRPr="00F72024" w:rsidRDefault="00925D93" w:rsidP="00925D93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</w:pPr>
    </w:p>
    <w:p w14:paraId="7517694C" w14:textId="77777777" w:rsidR="00925D93" w:rsidRPr="00F72024" w:rsidRDefault="00925D93" w:rsidP="00925D93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</w:pPr>
    </w:p>
    <w:p w14:paraId="1E2F8EA9" w14:textId="77777777" w:rsidR="00925D93" w:rsidRPr="0092129E" w:rsidRDefault="00925D93" w:rsidP="00925D93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</w:pPr>
    </w:p>
    <w:p w14:paraId="21809B39" w14:textId="77777777" w:rsidR="00925D93" w:rsidRPr="0092129E" w:rsidRDefault="00925D93" w:rsidP="00925D93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</w:pPr>
    </w:p>
    <w:p w14:paraId="5DCFAB87" w14:textId="77777777" w:rsidR="00925D93" w:rsidRDefault="00925D93" w:rsidP="00925D93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E5407E8" w14:textId="77777777" w:rsidR="00925D93" w:rsidRDefault="00925D93" w:rsidP="00BA695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sectPr w:rsidR="00925D93" w:rsidSect="002B516F">
      <w:headerReference w:type="default" r:id="rId11"/>
      <w:headerReference w:type="first" r:id="rId12"/>
      <w:footerReference w:type="first" r:id="rId13"/>
      <w:pgSz w:w="11906" w:h="16838"/>
      <w:pgMar w:top="1134" w:right="567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A6D9B" w14:textId="77777777" w:rsidR="005850E2" w:rsidRDefault="005850E2" w:rsidP="00452484">
      <w:pPr>
        <w:spacing w:after="0" w:line="240" w:lineRule="auto"/>
      </w:pPr>
      <w:r>
        <w:separator/>
      </w:r>
    </w:p>
  </w:endnote>
  <w:endnote w:type="continuationSeparator" w:id="0">
    <w:p w14:paraId="6C4510B9" w14:textId="77777777" w:rsidR="005850E2" w:rsidRDefault="005850E2" w:rsidP="00452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D7781" w14:textId="08714D46" w:rsidR="002B6D42" w:rsidRPr="002B6D42" w:rsidRDefault="00925D93" w:rsidP="002B6D42">
    <w:pPr>
      <w:pStyle w:val="a5"/>
      <w:jc w:val="right"/>
      <w:rPr>
        <w:rFonts w:ascii="PT Astra Serif" w:hAnsi="PT Astra Serif"/>
        <w:sz w:val="36"/>
        <w:szCs w:val="36"/>
      </w:rPr>
    </w:pPr>
    <w:r>
      <w:rPr>
        <w:rFonts w:ascii="PT Astra Serif" w:hAnsi="PT Astra Serif"/>
        <w:sz w:val="36"/>
        <w:szCs w:val="36"/>
      </w:rPr>
      <w:t>ПРОЕКТ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BE585" w14:textId="77777777" w:rsidR="005850E2" w:rsidRDefault="005850E2" w:rsidP="00452484">
      <w:pPr>
        <w:spacing w:after="0" w:line="240" w:lineRule="auto"/>
      </w:pPr>
      <w:r>
        <w:separator/>
      </w:r>
    </w:p>
  </w:footnote>
  <w:footnote w:type="continuationSeparator" w:id="0">
    <w:p w14:paraId="3E6976EC" w14:textId="77777777" w:rsidR="005850E2" w:rsidRDefault="005850E2" w:rsidP="00452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164808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365EB769" w14:textId="109D5E92" w:rsidR="00F614A0" w:rsidRPr="002B6D42" w:rsidRDefault="00F614A0" w:rsidP="00F614A0">
        <w:pPr>
          <w:pStyle w:val="a3"/>
          <w:jc w:val="center"/>
          <w:rPr>
            <w:rFonts w:ascii="PT Astra Serif" w:hAnsi="PT Astra Serif"/>
            <w:sz w:val="28"/>
            <w:szCs w:val="28"/>
          </w:rPr>
        </w:pPr>
        <w:r w:rsidRPr="002B6D42">
          <w:rPr>
            <w:rFonts w:ascii="PT Astra Serif" w:hAnsi="PT Astra Serif"/>
            <w:sz w:val="28"/>
            <w:szCs w:val="28"/>
          </w:rPr>
          <w:fldChar w:fldCharType="begin"/>
        </w:r>
        <w:r w:rsidRPr="002B6D42">
          <w:rPr>
            <w:rFonts w:ascii="PT Astra Serif" w:hAnsi="PT Astra Serif"/>
            <w:sz w:val="28"/>
            <w:szCs w:val="28"/>
          </w:rPr>
          <w:instrText>PAGE   \* MERGEFORMAT</w:instrText>
        </w:r>
        <w:r w:rsidRPr="002B6D42">
          <w:rPr>
            <w:rFonts w:ascii="PT Astra Serif" w:hAnsi="PT Astra Serif"/>
            <w:sz w:val="28"/>
            <w:szCs w:val="28"/>
          </w:rPr>
          <w:fldChar w:fldCharType="separate"/>
        </w:r>
        <w:r w:rsidR="00972152">
          <w:rPr>
            <w:rFonts w:ascii="PT Astra Serif" w:hAnsi="PT Astra Serif"/>
            <w:noProof/>
            <w:sz w:val="28"/>
            <w:szCs w:val="28"/>
          </w:rPr>
          <w:t>10</w:t>
        </w:r>
        <w:r w:rsidRPr="002B6D42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10A01" w14:textId="27B893EA" w:rsidR="008E72D7" w:rsidRPr="008E72D7" w:rsidRDefault="002B6D42" w:rsidP="002B6D42">
    <w:pPr>
      <w:pStyle w:val="a3"/>
      <w:jc w:val="center"/>
      <w:rPr>
        <w:rFonts w:ascii="PT Astra Serif" w:hAnsi="PT Astra Serif"/>
        <w:b/>
        <w:sz w:val="28"/>
        <w:szCs w:val="28"/>
      </w:rPr>
    </w:pPr>
    <w:r w:rsidRPr="006847F7">
      <w:rPr>
        <w:noProof/>
        <w:lang w:eastAsia="ru-RU"/>
      </w:rPr>
      <w:drawing>
        <wp:inline distT="0" distB="0" distL="0" distR="0" wp14:anchorId="1B9785B8" wp14:editId="24C4A9F3">
          <wp:extent cx="609600" cy="581025"/>
          <wp:effectExtent l="0" t="0" r="0" b="9525"/>
          <wp:docPr id="13" name="Рисунок 13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102B"/>
    <w:multiLevelType w:val="hybridMultilevel"/>
    <w:tmpl w:val="DF381D82"/>
    <w:lvl w:ilvl="0" w:tplc="06228E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2017B"/>
    <w:multiLevelType w:val="hybridMultilevel"/>
    <w:tmpl w:val="38629A58"/>
    <w:lvl w:ilvl="0" w:tplc="0ABC1D1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8B60D0A"/>
    <w:multiLevelType w:val="hybridMultilevel"/>
    <w:tmpl w:val="0F48B1D0"/>
    <w:lvl w:ilvl="0" w:tplc="752811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C16282"/>
    <w:multiLevelType w:val="multilevel"/>
    <w:tmpl w:val="DD80291E"/>
    <w:lvl w:ilvl="0">
      <w:start w:val="9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0F0107C"/>
    <w:multiLevelType w:val="hybridMultilevel"/>
    <w:tmpl w:val="DDC8BF82"/>
    <w:lvl w:ilvl="0" w:tplc="1CC88D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88C0C2F"/>
    <w:multiLevelType w:val="hybridMultilevel"/>
    <w:tmpl w:val="04D0FB06"/>
    <w:lvl w:ilvl="0" w:tplc="B15C8E42">
      <w:start w:val="1"/>
      <w:numFmt w:val="decimal"/>
      <w:lvlText w:val="%1)"/>
      <w:lvlJc w:val="left"/>
      <w:pPr>
        <w:ind w:left="720" w:hanging="360"/>
      </w:pPr>
      <w:rPr>
        <w:rFonts w:ascii="PT Astra Serif" w:eastAsia="Calibri" w:hAnsi="PT Astra Serif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932CBB"/>
    <w:multiLevelType w:val="hybridMultilevel"/>
    <w:tmpl w:val="5C742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A84"/>
    <w:rsid w:val="0002522E"/>
    <w:rsid w:val="00032C6E"/>
    <w:rsid w:val="000377BF"/>
    <w:rsid w:val="00046741"/>
    <w:rsid w:val="00047672"/>
    <w:rsid w:val="00053971"/>
    <w:rsid w:val="000668DC"/>
    <w:rsid w:val="000E5975"/>
    <w:rsid w:val="000E7384"/>
    <w:rsid w:val="000F288F"/>
    <w:rsid w:val="00112168"/>
    <w:rsid w:val="00115A70"/>
    <w:rsid w:val="00116A84"/>
    <w:rsid w:val="00145E7F"/>
    <w:rsid w:val="00150880"/>
    <w:rsid w:val="00162F32"/>
    <w:rsid w:val="001661EF"/>
    <w:rsid w:val="00173A28"/>
    <w:rsid w:val="00177640"/>
    <w:rsid w:val="00182693"/>
    <w:rsid w:val="00191A63"/>
    <w:rsid w:val="00192E6C"/>
    <w:rsid w:val="001A7455"/>
    <w:rsid w:val="001C7799"/>
    <w:rsid w:val="001E273D"/>
    <w:rsid w:val="001E27BE"/>
    <w:rsid w:val="001F3F66"/>
    <w:rsid w:val="001F44FF"/>
    <w:rsid w:val="00212B5E"/>
    <w:rsid w:val="00213434"/>
    <w:rsid w:val="002172BB"/>
    <w:rsid w:val="00247C46"/>
    <w:rsid w:val="00283FC3"/>
    <w:rsid w:val="00284750"/>
    <w:rsid w:val="00287D67"/>
    <w:rsid w:val="00291F91"/>
    <w:rsid w:val="002A3E0E"/>
    <w:rsid w:val="002A6DEF"/>
    <w:rsid w:val="002A743B"/>
    <w:rsid w:val="002B516F"/>
    <w:rsid w:val="002B6D42"/>
    <w:rsid w:val="002C5856"/>
    <w:rsid w:val="002D3464"/>
    <w:rsid w:val="002E2A5F"/>
    <w:rsid w:val="0030161D"/>
    <w:rsid w:val="00315CAD"/>
    <w:rsid w:val="0032001B"/>
    <w:rsid w:val="00324053"/>
    <w:rsid w:val="00341936"/>
    <w:rsid w:val="00345922"/>
    <w:rsid w:val="00345C3D"/>
    <w:rsid w:val="003648FA"/>
    <w:rsid w:val="00372044"/>
    <w:rsid w:val="003729FA"/>
    <w:rsid w:val="00372D23"/>
    <w:rsid w:val="00377132"/>
    <w:rsid w:val="003A64F2"/>
    <w:rsid w:val="003D2F2A"/>
    <w:rsid w:val="003E086F"/>
    <w:rsid w:val="003E6801"/>
    <w:rsid w:val="003F1064"/>
    <w:rsid w:val="003F24E4"/>
    <w:rsid w:val="004052C8"/>
    <w:rsid w:val="004218EC"/>
    <w:rsid w:val="00437FBC"/>
    <w:rsid w:val="00452484"/>
    <w:rsid w:val="00456786"/>
    <w:rsid w:val="00457263"/>
    <w:rsid w:val="00467D6A"/>
    <w:rsid w:val="00486E0A"/>
    <w:rsid w:val="004C2C53"/>
    <w:rsid w:val="004C4CA1"/>
    <w:rsid w:val="004F626F"/>
    <w:rsid w:val="004F6789"/>
    <w:rsid w:val="00503AE5"/>
    <w:rsid w:val="005111B0"/>
    <w:rsid w:val="0051408B"/>
    <w:rsid w:val="0053290F"/>
    <w:rsid w:val="00533572"/>
    <w:rsid w:val="005363E8"/>
    <w:rsid w:val="005410BC"/>
    <w:rsid w:val="00541A23"/>
    <w:rsid w:val="00564EFD"/>
    <w:rsid w:val="00566A50"/>
    <w:rsid w:val="00573EE5"/>
    <w:rsid w:val="00574A0C"/>
    <w:rsid w:val="00580B06"/>
    <w:rsid w:val="00580BB3"/>
    <w:rsid w:val="005850E2"/>
    <w:rsid w:val="005A5249"/>
    <w:rsid w:val="005B0E61"/>
    <w:rsid w:val="005C2EFE"/>
    <w:rsid w:val="005E0B01"/>
    <w:rsid w:val="005E3F3E"/>
    <w:rsid w:val="00600057"/>
    <w:rsid w:val="0060234A"/>
    <w:rsid w:val="00607AE9"/>
    <w:rsid w:val="006219C0"/>
    <w:rsid w:val="006456A6"/>
    <w:rsid w:val="006701A7"/>
    <w:rsid w:val="006B11B5"/>
    <w:rsid w:val="006B5F07"/>
    <w:rsid w:val="006C3709"/>
    <w:rsid w:val="006C7813"/>
    <w:rsid w:val="006E4BCE"/>
    <w:rsid w:val="006F195C"/>
    <w:rsid w:val="00735131"/>
    <w:rsid w:val="00736FEF"/>
    <w:rsid w:val="00745358"/>
    <w:rsid w:val="00747185"/>
    <w:rsid w:val="007670D4"/>
    <w:rsid w:val="00793823"/>
    <w:rsid w:val="007A2898"/>
    <w:rsid w:val="007A7C2B"/>
    <w:rsid w:val="007B4AFD"/>
    <w:rsid w:val="007C22FD"/>
    <w:rsid w:val="007C2C05"/>
    <w:rsid w:val="007D5FAB"/>
    <w:rsid w:val="007E3D55"/>
    <w:rsid w:val="007E6BDC"/>
    <w:rsid w:val="007F1AD7"/>
    <w:rsid w:val="00802C69"/>
    <w:rsid w:val="00804067"/>
    <w:rsid w:val="00804FF3"/>
    <w:rsid w:val="0080656C"/>
    <w:rsid w:val="0082350D"/>
    <w:rsid w:val="00826C0F"/>
    <w:rsid w:val="00832B2E"/>
    <w:rsid w:val="008333C0"/>
    <w:rsid w:val="00836F38"/>
    <w:rsid w:val="00843736"/>
    <w:rsid w:val="00844D4E"/>
    <w:rsid w:val="00850E06"/>
    <w:rsid w:val="0086740E"/>
    <w:rsid w:val="008731F5"/>
    <w:rsid w:val="008834E9"/>
    <w:rsid w:val="008B716E"/>
    <w:rsid w:val="008D4F8A"/>
    <w:rsid w:val="008E41F9"/>
    <w:rsid w:val="008E72D7"/>
    <w:rsid w:val="008F055D"/>
    <w:rsid w:val="008F6126"/>
    <w:rsid w:val="009009A9"/>
    <w:rsid w:val="009130C8"/>
    <w:rsid w:val="00914348"/>
    <w:rsid w:val="0092129E"/>
    <w:rsid w:val="009259B4"/>
    <w:rsid w:val="00925D93"/>
    <w:rsid w:val="00925E0F"/>
    <w:rsid w:val="00936F94"/>
    <w:rsid w:val="00941A22"/>
    <w:rsid w:val="0094411A"/>
    <w:rsid w:val="00956EF7"/>
    <w:rsid w:val="00957396"/>
    <w:rsid w:val="009623D4"/>
    <w:rsid w:val="00972152"/>
    <w:rsid w:val="00992BBF"/>
    <w:rsid w:val="009C5120"/>
    <w:rsid w:val="009D463C"/>
    <w:rsid w:val="009E527D"/>
    <w:rsid w:val="00A00673"/>
    <w:rsid w:val="00A14CD2"/>
    <w:rsid w:val="00A162D7"/>
    <w:rsid w:val="00A174D9"/>
    <w:rsid w:val="00A37EE6"/>
    <w:rsid w:val="00A55433"/>
    <w:rsid w:val="00A608CC"/>
    <w:rsid w:val="00A61E61"/>
    <w:rsid w:val="00A94A3C"/>
    <w:rsid w:val="00AC23E4"/>
    <w:rsid w:val="00B234E2"/>
    <w:rsid w:val="00B67B27"/>
    <w:rsid w:val="00B70DC3"/>
    <w:rsid w:val="00B73478"/>
    <w:rsid w:val="00B75AEA"/>
    <w:rsid w:val="00B87E3D"/>
    <w:rsid w:val="00B9266A"/>
    <w:rsid w:val="00BA3B82"/>
    <w:rsid w:val="00BA6951"/>
    <w:rsid w:val="00BF0611"/>
    <w:rsid w:val="00BF3130"/>
    <w:rsid w:val="00BF3588"/>
    <w:rsid w:val="00BF6D73"/>
    <w:rsid w:val="00C17C51"/>
    <w:rsid w:val="00C30D2E"/>
    <w:rsid w:val="00C310FB"/>
    <w:rsid w:val="00C40B62"/>
    <w:rsid w:val="00C54CC8"/>
    <w:rsid w:val="00C660AF"/>
    <w:rsid w:val="00C744FE"/>
    <w:rsid w:val="00C75F8A"/>
    <w:rsid w:val="00C80D1D"/>
    <w:rsid w:val="00CA2677"/>
    <w:rsid w:val="00CA4B1D"/>
    <w:rsid w:val="00CC5040"/>
    <w:rsid w:val="00CD3AFD"/>
    <w:rsid w:val="00CD5510"/>
    <w:rsid w:val="00CD7EE5"/>
    <w:rsid w:val="00CF2D2D"/>
    <w:rsid w:val="00D44729"/>
    <w:rsid w:val="00D50E21"/>
    <w:rsid w:val="00D65ABF"/>
    <w:rsid w:val="00D70A7B"/>
    <w:rsid w:val="00DA4894"/>
    <w:rsid w:val="00DB0C41"/>
    <w:rsid w:val="00DC38C9"/>
    <w:rsid w:val="00DD2914"/>
    <w:rsid w:val="00DE00D2"/>
    <w:rsid w:val="00DE5305"/>
    <w:rsid w:val="00DE5598"/>
    <w:rsid w:val="00DE69FD"/>
    <w:rsid w:val="00DF0625"/>
    <w:rsid w:val="00DF0C93"/>
    <w:rsid w:val="00DF28AD"/>
    <w:rsid w:val="00DF3758"/>
    <w:rsid w:val="00DF5138"/>
    <w:rsid w:val="00DF54F8"/>
    <w:rsid w:val="00E00C41"/>
    <w:rsid w:val="00E13C67"/>
    <w:rsid w:val="00E21051"/>
    <w:rsid w:val="00E22FE9"/>
    <w:rsid w:val="00E33899"/>
    <w:rsid w:val="00E35D1F"/>
    <w:rsid w:val="00E3667E"/>
    <w:rsid w:val="00E41E4F"/>
    <w:rsid w:val="00E50DE6"/>
    <w:rsid w:val="00E70A02"/>
    <w:rsid w:val="00E7317F"/>
    <w:rsid w:val="00E752BC"/>
    <w:rsid w:val="00E82F1B"/>
    <w:rsid w:val="00E84625"/>
    <w:rsid w:val="00EA10B9"/>
    <w:rsid w:val="00EA42F0"/>
    <w:rsid w:val="00EC4124"/>
    <w:rsid w:val="00EC6081"/>
    <w:rsid w:val="00ED3377"/>
    <w:rsid w:val="00EE37B0"/>
    <w:rsid w:val="00EF2A93"/>
    <w:rsid w:val="00EF4107"/>
    <w:rsid w:val="00F22A24"/>
    <w:rsid w:val="00F34480"/>
    <w:rsid w:val="00F56CAD"/>
    <w:rsid w:val="00F606AC"/>
    <w:rsid w:val="00F614A0"/>
    <w:rsid w:val="00F67355"/>
    <w:rsid w:val="00F72024"/>
    <w:rsid w:val="00F80A15"/>
    <w:rsid w:val="00F87013"/>
    <w:rsid w:val="00FA1BEA"/>
    <w:rsid w:val="00FA2F04"/>
    <w:rsid w:val="00FB5BDB"/>
    <w:rsid w:val="00FC3357"/>
    <w:rsid w:val="00FC3A91"/>
    <w:rsid w:val="00FD7BDF"/>
    <w:rsid w:val="00FE384B"/>
    <w:rsid w:val="00FE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81E43"/>
  <w15:chartTrackingRefBased/>
  <w15:docId w15:val="{8AFB21C7-4E98-477B-BE4A-DAF7897E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24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2484"/>
    <w:rPr>
      <w:rFonts w:ascii="Calibri" w:eastAsia="Calibri" w:hAnsi="Calibri" w:cs="Times New Roman"/>
    </w:rPr>
  </w:style>
  <w:style w:type="paragraph" w:customStyle="1" w:styleId="ConsPlusTitle">
    <w:name w:val="ConsPlusTitle"/>
    <w:rsid w:val="004524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extbody">
    <w:name w:val="Text body"/>
    <w:basedOn w:val="a"/>
    <w:rsid w:val="00452484"/>
    <w:pPr>
      <w:suppressAutoHyphens/>
      <w:spacing w:after="120" w:line="288" w:lineRule="auto"/>
      <w:ind w:firstLine="567"/>
      <w:jc w:val="both"/>
    </w:pPr>
    <w:rPr>
      <w:rFonts w:ascii="Times New Roman" w:eastAsia="Times New Roman" w:hAnsi="Times New Roman"/>
      <w:kern w:val="2"/>
      <w:sz w:val="28"/>
      <w:szCs w:val="28"/>
      <w:lang w:eastAsia="ar-SA"/>
    </w:rPr>
  </w:style>
  <w:style w:type="paragraph" w:styleId="a5">
    <w:name w:val="footer"/>
    <w:basedOn w:val="a"/>
    <w:link w:val="a6"/>
    <w:uiPriority w:val="99"/>
    <w:unhideWhenUsed/>
    <w:rsid w:val="0045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2484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4C4CA1"/>
    <w:pPr>
      <w:ind w:left="720"/>
      <w:contextualSpacing/>
    </w:pPr>
  </w:style>
  <w:style w:type="character" w:styleId="a8">
    <w:name w:val="footnote reference"/>
    <w:basedOn w:val="a0"/>
    <w:uiPriority w:val="99"/>
    <w:semiHidden/>
    <w:unhideWhenUsed/>
    <w:rsid w:val="007670D4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EE3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37B0"/>
    <w:rPr>
      <w:rFonts w:ascii="Segoe UI" w:eastAsia="Calibri" w:hAnsi="Segoe UI" w:cs="Segoe UI"/>
      <w:sz w:val="18"/>
      <w:szCs w:val="18"/>
    </w:rPr>
  </w:style>
  <w:style w:type="paragraph" w:styleId="ab">
    <w:name w:val="No Spacing"/>
    <w:uiPriority w:val="1"/>
    <w:qFormat/>
    <w:rsid w:val="00836F3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39"/>
    <w:rsid w:val="00320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957396"/>
    <w:pPr>
      <w:spacing w:after="0" w:line="240" w:lineRule="auto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basedOn w:val="a0"/>
    <w:link w:val="ad"/>
    <w:rsid w:val="00957396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C484D0D2A21DB5C32C79FFA0A493103F08CA959214885DCD2BD3FDEB7C3140BA387FC19ED24408CF1528B341D5DD08D7319D472C5F1b7KE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CD91AE7034EBDEDB0FC7E2BEDC745FEC8C51DB88BBF86BF27F13B472C774AA92CDFDA05B648YDy4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EEAD7DC1500ED680DD39CBC3552C17AFC7255FFB3245F4203F65E04ECDF7017CC76C37B3A82C9yCK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1B2D6-A4D6-4D93-AF83-56F1A0F31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4597</Words>
  <Characters>26204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Ульянова Ксения Игоревна</dc:creator>
  <cp:keywords/>
  <dc:description/>
  <cp:lastModifiedBy>Admin</cp:lastModifiedBy>
  <cp:revision>16</cp:revision>
  <cp:lastPrinted>2023-05-25T14:18:00Z</cp:lastPrinted>
  <dcterms:created xsi:type="dcterms:W3CDTF">2024-11-26T06:52:00Z</dcterms:created>
  <dcterms:modified xsi:type="dcterms:W3CDTF">2025-02-14T06:54:00Z</dcterms:modified>
</cp:coreProperties>
</file>